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08D80" w14:textId="77777777" w:rsidR="00C920A2" w:rsidRDefault="00C920A2" w:rsidP="003F7EDF">
      <w:pPr>
        <w:tabs>
          <w:tab w:val="num" w:pos="0"/>
        </w:tabs>
        <w:ind w:right="-17"/>
        <w:jc w:val="center"/>
      </w:pPr>
    </w:p>
    <w:p w14:paraId="1041410B" w14:textId="7CD8B76B" w:rsidR="001F35C6" w:rsidRPr="00FB4958" w:rsidRDefault="00944995" w:rsidP="003F7EDF">
      <w:pPr>
        <w:pStyle w:val="western"/>
        <w:numPr>
          <w:ilvl w:val="0"/>
          <w:numId w:val="1"/>
        </w:numPr>
        <w:spacing w:before="0" w:line="240" w:lineRule="auto"/>
        <w:ind w:right="-17"/>
        <w:jc w:val="center"/>
        <w:rPr>
          <w:rFonts w:ascii="Cambria" w:hAnsi="Cambria" w:cs="Calibri Light"/>
          <w:b/>
          <w:sz w:val="22"/>
          <w:szCs w:val="22"/>
        </w:rPr>
      </w:pPr>
      <w:r>
        <w:rPr>
          <w:rFonts w:ascii="Cambria" w:hAnsi="Cambria" w:cs="Calibri Light"/>
          <w:b/>
          <w:bCs/>
          <w:sz w:val="22"/>
          <w:szCs w:val="22"/>
        </w:rPr>
        <w:t>TERMO</w:t>
      </w:r>
      <w:r w:rsidR="001F35C6" w:rsidRPr="00FB4958">
        <w:rPr>
          <w:rFonts w:ascii="Cambria" w:hAnsi="Cambria" w:cs="Calibri Light"/>
          <w:b/>
          <w:sz w:val="22"/>
          <w:szCs w:val="22"/>
        </w:rPr>
        <w:t xml:space="preserve"> DE CONTRATO</w:t>
      </w:r>
    </w:p>
    <w:p w14:paraId="3268F8CC" w14:textId="77777777" w:rsidR="001F35C6" w:rsidRPr="00FB4958" w:rsidRDefault="001F35C6" w:rsidP="003F7EDF">
      <w:pPr>
        <w:ind w:right="-17"/>
        <w:jc w:val="center"/>
        <w:rPr>
          <w:rFonts w:ascii="Cambria" w:hAnsi="Cambria" w:cs="Calibri Light"/>
          <w:b/>
          <w:sz w:val="22"/>
          <w:szCs w:val="22"/>
        </w:rPr>
      </w:pPr>
    </w:p>
    <w:p w14:paraId="001D6DA0" w14:textId="195FD9D6" w:rsidR="001F35C6" w:rsidRDefault="001F35C6" w:rsidP="003F7EDF">
      <w:pPr>
        <w:spacing w:line="276" w:lineRule="auto"/>
        <w:ind w:left="3969" w:right="-17"/>
        <w:jc w:val="both"/>
        <w:rPr>
          <w:rFonts w:ascii="Cambria" w:hAnsi="Cambria" w:cs="Calibri Light"/>
          <w:b/>
          <w:sz w:val="22"/>
          <w:szCs w:val="22"/>
        </w:rPr>
      </w:pPr>
      <w:r w:rsidRPr="00FB4958">
        <w:rPr>
          <w:rFonts w:ascii="Cambria" w:hAnsi="Cambria" w:cs="Calibri Light"/>
          <w:b/>
          <w:sz w:val="22"/>
          <w:szCs w:val="22"/>
        </w:rPr>
        <w:t xml:space="preserve">TERMO DE CONTRATO DE COMPRA Nº </w:t>
      </w:r>
      <w:r w:rsidR="005B3963">
        <w:rPr>
          <w:rFonts w:ascii="Cambria" w:hAnsi="Cambria" w:cs="Calibri Light"/>
          <w:b/>
          <w:sz w:val="22"/>
          <w:szCs w:val="22"/>
        </w:rPr>
        <w:t>013</w:t>
      </w:r>
      <w:r w:rsidR="00944995">
        <w:rPr>
          <w:rFonts w:ascii="Cambria" w:hAnsi="Cambria" w:cs="Calibri Light"/>
          <w:b/>
          <w:sz w:val="22"/>
          <w:szCs w:val="22"/>
        </w:rPr>
        <w:t>/2025</w:t>
      </w:r>
      <w:r w:rsidRPr="00FB4958">
        <w:rPr>
          <w:rFonts w:ascii="Cambria" w:hAnsi="Cambria" w:cs="Calibri Light"/>
          <w:b/>
          <w:sz w:val="22"/>
          <w:szCs w:val="22"/>
        </w:rPr>
        <w:t xml:space="preserve"> QUE FAZEM ENTRE SI O </w:t>
      </w:r>
      <w:r w:rsidR="006B3DE8">
        <w:rPr>
          <w:rFonts w:ascii="Cambria" w:hAnsi="Cambria" w:cs="Calibri Light"/>
          <w:b/>
          <w:sz w:val="22"/>
          <w:szCs w:val="22"/>
        </w:rPr>
        <w:t>FUNDO MUNICIPAL DE SAÚDE DE AURORA DO TOCANTINS - TO</w:t>
      </w:r>
      <w:r w:rsidRPr="00FB4958">
        <w:rPr>
          <w:rFonts w:ascii="Cambria" w:hAnsi="Cambria" w:cs="Calibri Light"/>
          <w:b/>
          <w:sz w:val="22"/>
          <w:szCs w:val="22"/>
        </w:rPr>
        <w:t xml:space="preserve">, E A EMPRESA </w:t>
      </w:r>
      <w:r w:rsidR="00944995">
        <w:rPr>
          <w:rFonts w:ascii="Cambria" w:hAnsi="Cambria" w:cs="Calibri Light"/>
          <w:b/>
          <w:sz w:val="22"/>
          <w:szCs w:val="22"/>
        </w:rPr>
        <w:t>NOGUEIRA &amp; MACHADO</w:t>
      </w:r>
      <w:r w:rsidR="006B3DE8">
        <w:rPr>
          <w:rFonts w:ascii="Cambria" w:hAnsi="Cambria" w:cs="Calibri Light"/>
          <w:b/>
          <w:sz w:val="22"/>
          <w:szCs w:val="22"/>
        </w:rPr>
        <w:t>.</w:t>
      </w:r>
    </w:p>
    <w:p w14:paraId="0D34AF5A" w14:textId="77777777" w:rsidR="006B3DE8" w:rsidRPr="00FB4958" w:rsidRDefault="006B3DE8" w:rsidP="003F7EDF">
      <w:pPr>
        <w:spacing w:line="276" w:lineRule="auto"/>
        <w:ind w:left="3969" w:right="-17"/>
        <w:jc w:val="both"/>
        <w:rPr>
          <w:rFonts w:ascii="Cambria" w:hAnsi="Cambria" w:cs="Calibri Light"/>
          <w:b/>
          <w:sz w:val="22"/>
          <w:szCs w:val="22"/>
        </w:rPr>
      </w:pPr>
    </w:p>
    <w:p w14:paraId="0403397E" w14:textId="66192DFE" w:rsidR="001F35C6" w:rsidRPr="00FB4958" w:rsidRDefault="006B3DE8" w:rsidP="003F7EDF">
      <w:pPr>
        <w:spacing w:before="120" w:after="120"/>
        <w:ind w:firstLine="708"/>
        <w:jc w:val="both"/>
        <w:rPr>
          <w:rFonts w:ascii="Cambria" w:hAnsi="Cambria" w:cs="Calibri Light"/>
          <w:sz w:val="22"/>
          <w:szCs w:val="22"/>
        </w:rPr>
      </w:pPr>
      <w:r w:rsidRPr="006B3DE8">
        <w:rPr>
          <w:rFonts w:ascii="Cambria" w:hAnsi="Cambria" w:cs="Arial"/>
          <w:b/>
          <w:sz w:val="22"/>
          <w:szCs w:val="22"/>
        </w:rPr>
        <w:t xml:space="preserve">O FUNDO MUNICIPAL DE SAÚDE DE AURORA DO TOCANTINS, </w:t>
      </w:r>
      <w:r w:rsidRPr="006B3DE8">
        <w:rPr>
          <w:rFonts w:ascii="Cambria" w:hAnsi="Cambria" w:cs="Arial"/>
          <w:sz w:val="22"/>
          <w:szCs w:val="22"/>
        </w:rPr>
        <w:t>Estado do Tocantins, pessoa jurídica de Direito Público Interno, inscrito no CNPJ (MF) sob o nº 13.321.783/0001-57, com sede administrativa na Avenida Palmas, 136, Aurora do Tocantins - TO, 77.350-000, neste ato representado pelo Secretária Municipal de Saúde Sr.ª Rosiele Basto de Souza, brasileira, portador do CPF 013.188.061-60, residente na Praça Matriz s/n, Centro, Aurora do Tocantins - TO, residente na Rua Antônio Pereira de Souza, centro, Aurora do Tocantins - TO</w:t>
      </w:r>
      <w:r w:rsidR="001F35C6" w:rsidRPr="006B3DE8">
        <w:rPr>
          <w:rFonts w:ascii="Cambria" w:hAnsi="Cambria" w:cs="Calibri Light"/>
          <w:sz w:val="22"/>
          <w:szCs w:val="22"/>
        </w:rPr>
        <w:t>, doravante designada</w:t>
      </w:r>
      <w:r w:rsidR="001F35C6" w:rsidRPr="00FB4958">
        <w:rPr>
          <w:rFonts w:ascii="Cambria" w:hAnsi="Cambria" w:cs="Calibri Light"/>
          <w:sz w:val="22"/>
          <w:szCs w:val="22"/>
        </w:rPr>
        <w:t xml:space="preserve"> CONTRATADA, neste ato representada pelo(a) Sr.(a) </w:t>
      </w:r>
      <w:proofErr w:type="spellStart"/>
      <w:r w:rsidR="00944995">
        <w:rPr>
          <w:rFonts w:ascii="Cambria" w:hAnsi="Cambria" w:cs="Calibri Light"/>
          <w:sz w:val="22"/>
          <w:szCs w:val="22"/>
        </w:rPr>
        <w:t>Renilda</w:t>
      </w:r>
      <w:proofErr w:type="spellEnd"/>
      <w:r w:rsidR="00944995">
        <w:rPr>
          <w:rFonts w:ascii="Cambria" w:hAnsi="Cambria" w:cs="Calibri Light"/>
          <w:sz w:val="22"/>
          <w:szCs w:val="22"/>
        </w:rPr>
        <w:t xml:space="preserve"> Branquinho Nogueira</w:t>
      </w:r>
      <w:r w:rsidR="001F35C6" w:rsidRPr="00FB4958">
        <w:rPr>
          <w:rFonts w:ascii="Cambria" w:hAnsi="Cambria" w:cs="Calibri Light"/>
          <w:sz w:val="22"/>
          <w:szCs w:val="22"/>
        </w:rPr>
        <w:t xml:space="preserve">, portador(a) da Carteira de Identidade nº </w:t>
      </w:r>
      <w:r w:rsidR="00944995">
        <w:rPr>
          <w:rFonts w:ascii="Cambria" w:hAnsi="Cambria" w:cs="Calibri Light"/>
          <w:sz w:val="22"/>
          <w:szCs w:val="22"/>
        </w:rPr>
        <w:t>114735</w:t>
      </w:r>
      <w:r w:rsidR="001F35C6" w:rsidRPr="00FB4958">
        <w:rPr>
          <w:rFonts w:ascii="Cambria" w:hAnsi="Cambria" w:cs="Calibri Light"/>
          <w:sz w:val="22"/>
          <w:szCs w:val="22"/>
        </w:rPr>
        <w:t xml:space="preserve">, expedida pela (o) </w:t>
      </w:r>
      <w:r w:rsidR="00944995">
        <w:rPr>
          <w:rFonts w:ascii="Cambria" w:hAnsi="Cambria" w:cs="Calibri Light"/>
          <w:sz w:val="22"/>
          <w:szCs w:val="22"/>
        </w:rPr>
        <w:t>SSP-DF</w:t>
      </w:r>
      <w:r w:rsidR="001F35C6" w:rsidRPr="00FB4958">
        <w:rPr>
          <w:rFonts w:ascii="Cambria" w:hAnsi="Cambria" w:cs="Calibri Light"/>
          <w:sz w:val="22"/>
          <w:szCs w:val="22"/>
        </w:rPr>
        <w:t xml:space="preserve">, e CPF nº </w:t>
      </w:r>
      <w:r w:rsidR="00944995">
        <w:rPr>
          <w:rFonts w:ascii="Cambria" w:hAnsi="Cambria" w:cs="Calibri Light"/>
          <w:sz w:val="22"/>
          <w:szCs w:val="22"/>
        </w:rPr>
        <w:t>770.624.931-04</w:t>
      </w:r>
      <w:r w:rsidR="001F35C6" w:rsidRPr="00FB4958">
        <w:rPr>
          <w:rFonts w:ascii="Cambria" w:hAnsi="Cambria" w:cs="Calibri Light"/>
          <w:sz w:val="22"/>
          <w:szCs w:val="22"/>
        </w:rPr>
        <w:t xml:space="preserve">, tendo em vista o que consta no Processo nº </w:t>
      </w:r>
      <w:r w:rsidR="001F35C6" w:rsidRPr="004313BC">
        <w:rPr>
          <w:rFonts w:ascii="Cambria" w:hAnsi="Cambria" w:cs="Calibri Light"/>
          <w:noProof/>
          <w:sz w:val="22"/>
          <w:szCs w:val="22"/>
        </w:rPr>
        <w:t>003/2025</w:t>
      </w:r>
      <w:r w:rsidR="001F35C6" w:rsidRPr="00FB4958">
        <w:rPr>
          <w:rFonts w:ascii="Cambria" w:hAnsi="Cambria" w:cs="Calibri Light"/>
          <w:sz w:val="22"/>
          <w:szCs w:val="22"/>
        </w:rPr>
        <w:t xml:space="preserve"> e em observância às disposições da Lei nº 14.133, de 01 de abril de 2021 e na Lei nº 8.078, de 1990 - Código de Defesa do Consumidor, resolvem celebrar o presente Termo de Contrato, decorrente do </w:t>
      </w:r>
      <w:r w:rsidR="001F35C6">
        <w:rPr>
          <w:rFonts w:ascii="Cambria" w:hAnsi="Cambria" w:cs="Calibri Light"/>
          <w:sz w:val="22"/>
          <w:szCs w:val="22"/>
        </w:rPr>
        <w:t xml:space="preserve">Inexigibilidade </w:t>
      </w:r>
      <w:r w:rsidR="001F35C6" w:rsidRPr="00FB4958">
        <w:rPr>
          <w:rFonts w:ascii="Cambria" w:hAnsi="Cambria" w:cs="Calibri Light"/>
          <w:sz w:val="22"/>
          <w:szCs w:val="22"/>
        </w:rPr>
        <w:t xml:space="preserve"> nº</w:t>
      </w:r>
      <w:r w:rsidR="001F35C6">
        <w:rPr>
          <w:rFonts w:ascii="Cambria" w:hAnsi="Cambria" w:cs="Calibri Light"/>
          <w:sz w:val="22"/>
          <w:szCs w:val="22"/>
        </w:rPr>
        <w:t xml:space="preserve"> </w:t>
      </w:r>
      <w:r w:rsidR="001F35C6" w:rsidRPr="004313BC">
        <w:rPr>
          <w:rFonts w:ascii="Cambria" w:hAnsi="Cambria" w:cs="Calibri Light"/>
          <w:noProof/>
          <w:sz w:val="22"/>
          <w:szCs w:val="22"/>
        </w:rPr>
        <w:t>003/2025</w:t>
      </w:r>
      <w:r w:rsidR="001F35C6" w:rsidRPr="00FB4958">
        <w:rPr>
          <w:rFonts w:ascii="Cambria" w:hAnsi="Cambria" w:cs="Calibri Light"/>
          <w:sz w:val="22"/>
          <w:szCs w:val="22"/>
        </w:rPr>
        <w:t>, mediante as cláusulas e condições a seguir enunciadas.</w:t>
      </w:r>
    </w:p>
    <w:p w14:paraId="0AC14A41" w14:textId="77777777" w:rsidR="001F35C6" w:rsidRPr="00FB4958" w:rsidRDefault="001F35C6" w:rsidP="003F7EDF">
      <w:pPr>
        <w:pStyle w:val="Corpodetexto21"/>
        <w:spacing w:before="120" w:after="120"/>
        <w:rPr>
          <w:rFonts w:ascii="Cambria" w:hAnsi="Cambria" w:cs="Calibri Light"/>
          <w:sz w:val="22"/>
          <w:szCs w:val="22"/>
        </w:rPr>
      </w:pPr>
      <w:r w:rsidRPr="00FB4958">
        <w:rPr>
          <w:rFonts w:ascii="Cambria" w:hAnsi="Cambria" w:cs="Calibri Light"/>
          <w:sz w:val="22"/>
          <w:szCs w:val="22"/>
        </w:rPr>
        <w:t>CLÁUSULA PRIMEIRA – OBJETO</w:t>
      </w:r>
    </w:p>
    <w:p w14:paraId="344A594C" w14:textId="77777777" w:rsidR="001F35C6" w:rsidRPr="00FB4958" w:rsidRDefault="001F35C6" w:rsidP="003F7EDF">
      <w:pPr>
        <w:numPr>
          <w:ilvl w:val="1"/>
          <w:numId w:val="2"/>
        </w:numPr>
        <w:suppressAutoHyphens w:val="0"/>
        <w:spacing w:before="120" w:after="120"/>
        <w:jc w:val="both"/>
        <w:rPr>
          <w:rFonts w:ascii="Cambria" w:hAnsi="Cambria" w:cs="Calibri Light"/>
          <w:b/>
          <w:sz w:val="22"/>
          <w:szCs w:val="22"/>
        </w:rPr>
      </w:pPr>
      <w:r w:rsidRPr="00FB4958">
        <w:rPr>
          <w:rFonts w:ascii="Cambria" w:hAnsi="Cambria" w:cs="Calibri Light"/>
          <w:sz w:val="22"/>
          <w:szCs w:val="22"/>
        </w:rPr>
        <w:t xml:space="preserve">O objeto do presente Termo de Contrato é a </w:t>
      </w:r>
      <w:r w:rsidRPr="004313BC">
        <w:rPr>
          <w:rFonts w:ascii="Cambria" w:hAnsi="Cambria" w:cs="Calibri Light"/>
          <w:noProof/>
          <w:sz w:val="22"/>
          <w:szCs w:val="22"/>
        </w:rPr>
        <w:t>Aquisição de combustivel para abastecimento da frota da Prefeitura Municipal de Aurora do Tocantins - TO</w:t>
      </w:r>
    </w:p>
    <w:p w14:paraId="019B69E3" w14:textId="6128515C" w:rsidR="00A56FF1" w:rsidRPr="00FB4958" w:rsidRDefault="001F35C6" w:rsidP="003F7EDF">
      <w:pPr>
        <w:numPr>
          <w:ilvl w:val="1"/>
          <w:numId w:val="2"/>
        </w:numPr>
        <w:suppressAutoHyphens w:val="0"/>
        <w:spacing w:before="120" w:after="120"/>
        <w:ind w:left="425"/>
        <w:jc w:val="both"/>
        <w:rPr>
          <w:rFonts w:ascii="Cambria" w:hAnsi="Cambria" w:cs="Calibri Light"/>
          <w:sz w:val="22"/>
          <w:szCs w:val="22"/>
        </w:rPr>
      </w:pPr>
      <w:proofErr w:type="spellStart"/>
      <w:r w:rsidRPr="00FB4958">
        <w:rPr>
          <w:rFonts w:ascii="Cambria" w:hAnsi="Cambria" w:cs="Calibri Light"/>
          <w:sz w:val="22"/>
          <w:szCs w:val="22"/>
        </w:rPr>
        <w:t>Discrimin</w:t>
      </w:r>
      <w:r w:rsidR="006B3DE8">
        <w:rPr>
          <w:rFonts w:ascii="Cambria" w:hAnsi="Cambria" w:cs="Calibri Light"/>
          <w:sz w:val="22"/>
          <w:szCs w:val="22"/>
        </w:rPr>
        <w:t>ção</w:t>
      </w:r>
      <w:proofErr w:type="spellEnd"/>
      <w:r w:rsidR="006B3DE8">
        <w:rPr>
          <w:rFonts w:ascii="Cambria" w:hAnsi="Cambria" w:cs="Calibri Light"/>
          <w:sz w:val="22"/>
          <w:szCs w:val="22"/>
        </w:rPr>
        <w:t>.</w:t>
      </w:r>
    </w:p>
    <w:tbl>
      <w:tblPr>
        <w:tblW w:w="5000" w:type="pct"/>
        <w:tblCellMar>
          <w:left w:w="70" w:type="dxa"/>
          <w:right w:w="70" w:type="dxa"/>
        </w:tblCellMar>
        <w:tblLook w:val="04A0" w:firstRow="1" w:lastRow="0" w:firstColumn="1" w:lastColumn="0" w:noHBand="0" w:noVBand="1"/>
      </w:tblPr>
      <w:tblGrid>
        <w:gridCol w:w="629"/>
        <w:gridCol w:w="4328"/>
        <w:gridCol w:w="993"/>
        <w:gridCol w:w="1417"/>
        <w:gridCol w:w="1695"/>
      </w:tblGrid>
      <w:tr w:rsidR="006B3DE8" w:rsidRPr="00A56FF1" w14:paraId="39708CC0" w14:textId="77777777" w:rsidTr="006B3DE8">
        <w:trPr>
          <w:trHeight w:val="300"/>
        </w:trPr>
        <w:tc>
          <w:tcPr>
            <w:tcW w:w="347"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784FF67" w14:textId="027FFC7A" w:rsidR="006B3DE8" w:rsidRPr="006B3DE8" w:rsidRDefault="006B3DE8" w:rsidP="006B3DE8">
            <w:pPr>
              <w:suppressAutoHyphens w:val="0"/>
              <w:jc w:val="center"/>
              <w:rPr>
                <w:rFonts w:ascii="Calibri" w:hAnsi="Calibri" w:cs="Calibri"/>
                <w:b/>
                <w:color w:val="000000"/>
                <w:sz w:val="22"/>
                <w:szCs w:val="22"/>
                <w:lang w:eastAsia="pt-BR"/>
              </w:rPr>
            </w:pPr>
            <w:r w:rsidRPr="006B3DE8">
              <w:rPr>
                <w:rFonts w:ascii="Calibri" w:hAnsi="Calibri" w:cs="Calibri"/>
                <w:b/>
                <w:color w:val="000000"/>
                <w:sz w:val="22"/>
                <w:szCs w:val="22"/>
                <w:lang w:eastAsia="pt-BR"/>
              </w:rPr>
              <w:t>ITEM</w:t>
            </w:r>
          </w:p>
        </w:tc>
        <w:tc>
          <w:tcPr>
            <w:tcW w:w="2388" w:type="pc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446F2B3" w14:textId="6EAAE38C" w:rsidR="006B3DE8" w:rsidRPr="006B3DE8" w:rsidRDefault="006B3DE8" w:rsidP="006B3DE8">
            <w:pPr>
              <w:suppressAutoHyphens w:val="0"/>
              <w:jc w:val="center"/>
              <w:rPr>
                <w:rFonts w:ascii="Calibri" w:hAnsi="Calibri" w:cs="Calibri"/>
                <w:b/>
                <w:color w:val="000000"/>
                <w:sz w:val="22"/>
                <w:szCs w:val="22"/>
                <w:lang w:eastAsia="pt-BR"/>
              </w:rPr>
            </w:pPr>
            <w:r w:rsidRPr="006B3DE8">
              <w:rPr>
                <w:rFonts w:ascii="Calibri" w:hAnsi="Calibri" w:cs="Calibri"/>
                <w:b/>
                <w:color w:val="000000"/>
                <w:sz w:val="22"/>
                <w:szCs w:val="22"/>
                <w:lang w:eastAsia="pt-BR"/>
              </w:rPr>
              <w:t>DESCRITAÇÃO</w:t>
            </w:r>
          </w:p>
        </w:tc>
        <w:tc>
          <w:tcPr>
            <w:tcW w:w="548" w:type="pct"/>
            <w:tcBorders>
              <w:top w:val="nil"/>
              <w:left w:val="nil"/>
              <w:bottom w:val="single" w:sz="4" w:space="0" w:color="auto"/>
              <w:right w:val="single" w:sz="4" w:space="0" w:color="auto"/>
            </w:tcBorders>
            <w:shd w:val="clear" w:color="auto" w:fill="F7CAAC" w:themeFill="accent2" w:themeFillTint="66"/>
            <w:noWrap/>
            <w:vAlign w:val="center"/>
            <w:hideMark/>
          </w:tcPr>
          <w:p w14:paraId="18D6594B" w14:textId="499C4B5E" w:rsidR="006B3DE8" w:rsidRPr="006B3DE8" w:rsidRDefault="006B3DE8" w:rsidP="006B3DE8">
            <w:pPr>
              <w:suppressAutoHyphens w:val="0"/>
              <w:jc w:val="center"/>
              <w:rPr>
                <w:rFonts w:ascii="Calibri" w:hAnsi="Calibri" w:cs="Calibri"/>
                <w:b/>
                <w:color w:val="000000"/>
                <w:sz w:val="22"/>
                <w:szCs w:val="22"/>
                <w:lang w:eastAsia="pt-BR"/>
              </w:rPr>
            </w:pPr>
            <w:r w:rsidRPr="006B3DE8">
              <w:rPr>
                <w:rFonts w:ascii="Calibri" w:hAnsi="Calibri" w:cs="Calibri"/>
                <w:b/>
                <w:color w:val="000000"/>
                <w:sz w:val="22"/>
                <w:szCs w:val="22"/>
                <w:lang w:eastAsia="pt-BR"/>
              </w:rPr>
              <w:t>QUANT.</w:t>
            </w:r>
          </w:p>
        </w:tc>
        <w:tc>
          <w:tcPr>
            <w:tcW w:w="782" w:type="pct"/>
            <w:tcBorders>
              <w:top w:val="single" w:sz="4" w:space="0" w:color="auto"/>
              <w:left w:val="single" w:sz="4" w:space="0" w:color="auto"/>
              <w:bottom w:val="single" w:sz="4" w:space="0" w:color="000000"/>
              <w:right w:val="single" w:sz="4" w:space="0" w:color="auto"/>
            </w:tcBorders>
            <w:shd w:val="clear" w:color="auto" w:fill="F7CAAC" w:themeFill="accent2" w:themeFillTint="66"/>
            <w:vAlign w:val="center"/>
            <w:hideMark/>
          </w:tcPr>
          <w:p w14:paraId="55FB27D8" w14:textId="7CD318C6" w:rsidR="006B3DE8" w:rsidRPr="006B3DE8" w:rsidRDefault="006B3DE8" w:rsidP="006B3DE8">
            <w:pPr>
              <w:suppressAutoHyphens w:val="0"/>
              <w:jc w:val="center"/>
              <w:rPr>
                <w:rFonts w:ascii="Calibri" w:hAnsi="Calibri" w:cs="Calibri"/>
                <w:b/>
                <w:color w:val="000000"/>
                <w:sz w:val="22"/>
                <w:szCs w:val="22"/>
                <w:lang w:eastAsia="pt-BR"/>
              </w:rPr>
            </w:pPr>
            <w:r w:rsidRPr="006B3DE8">
              <w:rPr>
                <w:rFonts w:ascii="Calibri" w:hAnsi="Calibri" w:cs="Calibri"/>
                <w:b/>
                <w:color w:val="000000"/>
                <w:sz w:val="22"/>
                <w:szCs w:val="22"/>
                <w:lang w:eastAsia="pt-BR"/>
              </w:rPr>
              <w:t>V. UNIT.</w:t>
            </w:r>
          </w:p>
        </w:tc>
        <w:tc>
          <w:tcPr>
            <w:tcW w:w="935" w:type="pct"/>
            <w:tcBorders>
              <w:top w:val="single" w:sz="4" w:space="0" w:color="auto"/>
              <w:left w:val="single" w:sz="4" w:space="0" w:color="auto"/>
              <w:bottom w:val="single" w:sz="4" w:space="0" w:color="000000"/>
              <w:right w:val="single" w:sz="4" w:space="0" w:color="auto"/>
            </w:tcBorders>
            <w:shd w:val="clear" w:color="auto" w:fill="F7CAAC" w:themeFill="accent2" w:themeFillTint="66"/>
            <w:vAlign w:val="center"/>
            <w:hideMark/>
          </w:tcPr>
          <w:p w14:paraId="1F346E1A" w14:textId="344A4238" w:rsidR="006B3DE8" w:rsidRPr="006B3DE8" w:rsidRDefault="006B3DE8" w:rsidP="006B3DE8">
            <w:pPr>
              <w:suppressAutoHyphens w:val="0"/>
              <w:jc w:val="center"/>
              <w:rPr>
                <w:rFonts w:ascii="Calibri" w:hAnsi="Calibri" w:cs="Calibri"/>
                <w:b/>
                <w:color w:val="000000"/>
                <w:sz w:val="22"/>
                <w:szCs w:val="22"/>
                <w:lang w:eastAsia="pt-BR"/>
              </w:rPr>
            </w:pPr>
            <w:r w:rsidRPr="006B3DE8">
              <w:rPr>
                <w:rFonts w:ascii="Calibri" w:hAnsi="Calibri" w:cs="Calibri"/>
                <w:b/>
                <w:color w:val="000000"/>
                <w:sz w:val="22"/>
                <w:szCs w:val="22"/>
                <w:lang w:eastAsia="pt-BR"/>
              </w:rPr>
              <w:t>V. TOTAL</w:t>
            </w:r>
          </w:p>
        </w:tc>
      </w:tr>
      <w:tr w:rsidR="006B3DE8" w:rsidRPr="00A56FF1" w14:paraId="574B06B4" w14:textId="77777777" w:rsidTr="006B3DE8">
        <w:trPr>
          <w:trHeight w:val="300"/>
        </w:trPr>
        <w:tc>
          <w:tcPr>
            <w:tcW w:w="347" w:type="pct"/>
            <w:tcBorders>
              <w:top w:val="nil"/>
              <w:left w:val="single" w:sz="4" w:space="0" w:color="auto"/>
              <w:bottom w:val="single" w:sz="4" w:space="0" w:color="auto"/>
              <w:right w:val="single" w:sz="4" w:space="0" w:color="auto"/>
            </w:tcBorders>
            <w:shd w:val="clear" w:color="000000" w:fill="FFFFFF"/>
            <w:noWrap/>
            <w:vAlign w:val="center"/>
          </w:tcPr>
          <w:p w14:paraId="2DD46928" w14:textId="40F9A047" w:rsidR="006B3DE8" w:rsidRPr="00A56FF1" w:rsidRDefault="006B3DE8" w:rsidP="00055AA1">
            <w:pPr>
              <w:suppressAutoHyphens w:val="0"/>
              <w:jc w:val="center"/>
              <w:rPr>
                <w:rFonts w:ascii="Calibri" w:hAnsi="Calibri" w:cs="Calibri"/>
                <w:color w:val="000000"/>
                <w:sz w:val="22"/>
                <w:szCs w:val="22"/>
                <w:lang w:eastAsia="pt-BR"/>
              </w:rPr>
            </w:pPr>
            <w:r w:rsidRPr="00B52C81">
              <w:rPr>
                <w:rFonts w:cs="Calibri"/>
                <w:color w:val="000000"/>
                <w:lang w:eastAsia="pt-BR"/>
              </w:rPr>
              <w:t>1</w:t>
            </w:r>
          </w:p>
        </w:tc>
        <w:tc>
          <w:tcPr>
            <w:tcW w:w="2388" w:type="pct"/>
            <w:tcBorders>
              <w:top w:val="nil"/>
              <w:left w:val="nil"/>
              <w:bottom w:val="single" w:sz="4" w:space="0" w:color="auto"/>
              <w:right w:val="single" w:sz="4" w:space="0" w:color="auto"/>
            </w:tcBorders>
            <w:shd w:val="clear" w:color="000000" w:fill="FFFFFF"/>
            <w:noWrap/>
            <w:vAlign w:val="center"/>
          </w:tcPr>
          <w:p w14:paraId="48D30157" w14:textId="43868BB9" w:rsidR="006B3DE8" w:rsidRPr="00A56FF1" w:rsidRDefault="006B3DE8" w:rsidP="006B3DE8">
            <w:pPr>
              <w:suppressAutoHyphens w:val="0"/>
              <w:rPr>
                <w:rFonts w:ascii="Calibri" w:hAnsi="Calibri" w:cs="Calibri"/>
                <w:color w:val="000000"/>
                <w:sz w:val="22"/>
                <w:szCs w:val="22"/>
                <w:lang w:eastAsia="pt-BR"/>
              </w:rPr>
            </w:pPr>
            <w:r w:rsidRPr="00B52C81">
              <w:rPr>
                <w:rFonts w:cs="Calibri"/>
                <w:color w:val="000000"/>
                <w:lang w:eastAsia="pt-BR"/>
              </w:rPr>
              <w:t>GASOLINA</w:t>
            </w:r>
          </w:p>
        </w:tc>
        <w:tc>
          <w:tcPr>
            <w:tcW w:w="548" w:type="pct"/>
            <w:tcBorders>
              <w:top w:val="nil"/>
              <w:left w:val="nil"/>
              <w:bottom w:val="single" w:sz="4" w:space="0" w:color="auto"/>
              <w:right w:val="single" w:sz="4" w:space="0" w:color="auto"/>
            </w:tcBorders>
            <w:shd w:val="clear" w:color="000000" w:fill="FFFFFF"/>
            <w:noWrap/>
            <w:vAlign w:val="center"/>
          </w:tcPr>
          <w:p w14:paraId="02018BAC" w14:textId="0F080F34" w:rsidR="006B3DE8" w:rsidRPr="00A56FF1" w:rsidRDefault="006B3DE8" w:rsidP="00055AA1">
            <w:pPr>
              <w:suppressAutoHyphens w:val="0"/>
              <w:jc w:val="center"/>
              <w:rPr>
                <w:rFonts w:ascii="Calibri" w:hAnsi="Calibri" w:cs="Calibri"/>
                <w:color w:val="000000"/>
                <w:sz w:val="22"/>
                <w:szCs w:val="22"/>
                <w:lang w:eastAsia="pt-BR"/>
              </w:rPr>
            </w:pPr>
            <w:r w:rsidRPr="00B52C81">
              <w:rPr>
                <w:rFonts w:cs="Calibri"/>
                <w:color w:val="000000"/>
                <w:lang w:eastAsia="pt-BR"/>
              </w:rPr>
              <w:t>44.987</w:t>
            </w:r>
          </w:p>
        </w:tc>
        <w:tc>
          <w:tcPr>
            <w:tcW w:w="782" w:type="pct"/>
            <w:tcBorders>
              <w:top w:val="nil"/>
              <w:left w:val="nil"/>
              <w:bottom w:val="single" w:sz="4" w:space="0" w:color="auto"/>
              <w:right w:val="single" w:sz="4" w:space="0" w:color="auto"/>
            </w:tcBorders>
            <w:shd w:val="clear" w:color="000000" w:fill="FFFFFF"/>
            <w:noWrap/>
            <w:vAlign w:val="center"/>
          </w:tcPr>
          <w:p w14:paraId="0B643702" w14:textId="38D6A83A" w:rsidR="006B3DE8" w:rsidRPr="00A56FF1" w:rsidRDefault="006B3DE8" w:rsidP="00055AA1">
            <w:pPr>
              <w:suppressAutoHyphens w:val="0"/>
              <w:jc w:val="center"/>
              <w:rPr>
                <w:rFonts w:ascii="Calibri" w:hAnsi="Calibri" w:cs="Calibri"/>
                <w:color w:val="000000"/>
                <w:sz w:val="22"/>
                <w:szCs w:val="22"/>
                <w:lang w:eastAsia="pt-BR"/>
              </w:rPr>
            </w:pPr>
            <w:r>
              <w:rPr>
                <w:rFonts w:cs="Calibri"/>
                <w:color w:val="000000"/>
                <w:lang w:eastAsia="pt-BR"/>
              </w:rPr>
              <w:t>R$ 6,63</w:t>
            </w:r>
            <w:r w:rsidRPr="00B52C81">
              <w:rPr>
                <w:rFonts w:cs="Calibri"/>
                <w:color w:val="000000"/>
                <w:lang w:eastAsia="pt-BR"/>
              </w:rPr>
              <w:t> </w:t>
            </w:r>
          </w:p>
        </w:tc>
        <w:tc>
          <w:tcPr>
            <w:tcW w:w="935" w:type="pct"/>
            <w:tcBorders>
              <w:top w:val="nil"/>
              <w:left w:val="nil"/>
              <w:bottom w:val="single" w:sz="4" w:space="0" w:color="auto"/>
              <w:right w:val="single" w:sz="4" w:space="0" w:color="auto"/>
            </w:tcBorders>
            <w:shd w:val="clear" w:color="000000" w:fill="FFFFFF"/>
            <w:noWrap/>
            <w:vAlign w:val="center"/>
          </w:tcPr>
          <w:p w14:paraId="1E9F108F" w14:textId="7C0D1B21" w:rsidR="006B3DE8" w:rsidRPr="00A56FF1" w:rsidRDefault="006B3DE8" w:rsidP="00055AA1">
            <w:pPr>
              <w:suppressAutoHyphens w:val="0"/>
              <w:jc w:val="center"/>
              <w:rPr>
                <w:rFonts w:ascii="Calibri" w:hAnsi="Calibri" w:cs="Calibri"/>
                <w:color w:val="000000"/>
                <w:sz w:val="22"/>
                <w:szCs w:val="22"/>
                <w:lang w:eastAsia="pt-BR"/>
              </w:rPr>
            </w:pPr>
            <w:r>
              <w:rPr>
                <w:rFonts w:cs="Calibri"/>
                <w:color w:val="000000"/>
                <w:lang w:eastAsia="pt-BR"/>
              </w:rPr>
              <w:t>R$ 298.263,81</w:t>
            </w:r>
          </w:p>
        </w:tc>
      </w:tr>
      <w:tr w:rsidR="006B3DE8" w:rsidRPr="00A56FF1" w14:paraId="42622A31" w14:textId="77777777" w:rsidTr="006B3DE8">
        <w:trPr>
          <w:trHeight w:val="300"/>
        </w:trPr>
        <w:tc>
          <w:tcPr>
            <w:tcW w:w="347" w:type="pct"/>
            <w:tcBorders>
              <w:top w:val="nil"/>
              <w:left w:val="single" w:sz="4" w:space="0" w:color="auto"/>
              <w:bottom w:val="single" w:sz="4" w:space="0" w:color="auto"/>
              <w:right w:val="single" w:sz="4" w:space="0" w:color="auto"/>
            </w:tcBorders>
            <w:shd w:val="clear" w:color="000000" w:fill="FFFFFF"/>
            <w:noWrap/>
            <w:vAlign w:val="center"/>
          </w:tcPr>
          <w:p w14:paraId="5AFA6149" w14:textId="4930D298" w:rsidR="006B3DE8" w:rsidRPr="00A56FF1" w:rsidRDefault="006B3DE8" w:rsidP="00055AA1">
            <w:pPr>
              <w:suppressAutoHyphens w:val="0"/>
              <w:jc w:val="center"/>
              <w:rPr>
                <w:rFonts w:ascii="Calibri" w:hAnsi="Calibri" w:cs="Calibri"/>
                <w:color w:val="000000"/>
                <w:sz w:val="22"/>
                <w:szCs w:val="22"/>
                <w:lang w:eastAsia="pt-BR"/>
              </w:rPr>
            </w:pPr>
            <w:r w:rsidRPr="00B52C81">
              <w:rPr>
                <w:rFonts w:cs="Calibri"/>
                <w:color w:val="000000"/>
                <w:lang w:eastAsia="pt-BR"/>
              </w:rPr>
              <w:t>3</w:t>
            </w:r>
          </w:p>
        </w:tc>
        <w:tc>
          <w:tcPr>
            <w:tcW w:w="2388" w:type="pct"/>
            <w:tcBorders>
              <w:top w:val="nil"/>
              <w:left w:val="nil"/>
              <w:bottom w:val="single" w:sz="4" w:space="0" w:color="auto"/>
              <w:right w:val="single" w:sz="4" w:space="0" w:color="auto"/>
            </w:tcBorders>
            <w:shd w:val="clear" w:color="000000" w:fill="FFFFFF"/>
            <w:noWrap/>
            <w:vAlign w:val="center"/>
          </w:tcPr>
          <w:p w14:paraId="5273263A" w14:textId="710BF326" w:rsidR="006B3DE8" w:rsidRPr="00A56FF1" w:rsidRDefault="006B3DE8" w:rsidP="006B3DE8">
            <w:pPr>
              <w:suppressAutoHyphens w:val="0"/>
              <w:rPr>
                <w:rFonts w:ascii="Calibri" w:hAnsi="Calibri" w:cs="Calibri"/>
                <w:color w:val="000000"/>
                <w:sz w:val="22"/>
                <w:szCs w:val="22"/>
                <w:lang w:eastAsia="pt-BR"/>
              </w:rPr>
            </w:pPr>
            <w:r w:rsidRPr="00B52C81">
              <w:rPr>
                <w:rFonts w:cs="Calibri"/>
                <w:color w:val="000000"/>
                <w:lang w:eastAsia="pt-BR"/>
              </w:rPr>
              <w:t>OLEO S-10</w:t>
            </w:r>
          </w:p>
        </w:tc>
        <w:tc>
          <w:tcPr>
            <w:tcW w:w="548" w:type="pct"/>
            <w:tcBorders>
              <w:top w:val="nil"/>
              <w:left w:val="nil"/>
              <w:bottom w:val="single" w:sz="4" w:space="0" w:color="auto"/>
              <w:right w:val="single" w:sz="4" w:space="0" w:color="auto"/>
            </w:tcBorders>
            <w:shd w:val="clear" w:color="000000" w:fill="FFFFFF"/>
            <w:noWrap/>
            <w:vAlign w:val="center"/>
          </w:tcPr>
          <w:p w14:paraId="418AAB10" w14:textId="159FDAFF" w:rsidR="006B3DE8" w:rsidRPr="00A56FF1" w:rsidRDefault="006B3DE8" w:rsidP="00055AA1">
            <w:pPr>
              <w:suppressAutoHyphens w:val="0"/>
              <w:jc w:val="center"/>
              <w:rPr>
                <w:rFonts w:ascii="Calibri" w:hAnsi="Calibri" w:cs="Calibri"/>
                <w:color w:val="000000"/>
                <w:sz w:val="22"/>
                <w:szCs w:val="22"/>
                <w:lang w:eastAsia="pt-BR"/>
              </w:rPr>
            </w:pPr>
            <w:r w:rsidRPr="00B52C81">
              <w:rPr>
                <w:rFonts w:cs="Calibri"/>
                <w:color w:val="000000"/>
                <w:lang w:eastAsia="pt-BR"/>
              </w:rPr>
              <w:t>32.526</w:t>
            </w:r>
          </w:p>
        </w:tc>
        <w:tc>
          <w:tcPr>
            <w:tcW w:w="782" w:type="pct"/>
            <w:tcBorders>
              <w:top w:val="nil"/>
              <w:left w:val="nil"/>
              <w:bottom w:val="single" w:sz="4" w:space="0" w:color="auto"/>
              <w:right w:val="single" w:sz="4" w:space="0" w:color="auto"/>
            </w:tcBorders>
            <w:shd w:val="clear" w:color="000000" w:fill="FFFFFF"/>
            <w:noWrap/>
            <w:vAlign w:val="center"/>
          </w:tcPr>
          <w:p w14:paraId="673D9FBC" w14:textId="75133C54" w:rsidR="006B3DE8" w:rsidRPr="00A56FF1" w:rsidRDefault="006B3DE8" w:rsidP="00055AA1">
            <w:pPr>
              <w:suppressAutoHyphens w:val="0"/>
              <w:jc w:val="center"/>
              <w:rPr>
                <w:rFonts w:ascii="Calibri" w:hAnsi="Calibri" w:cs="Calibri"/>
                <w:color w:val="000000"/>
                <w:sz w:val="22"/>
                <w:szCs w:val="22"/>
                <w:lang w:eastAsia="pt-BR"/>
              </w:rPr>
            </w:pPr>
            <w:r w:rsidRPr="00B52C81">
              <w:rPr>
                <w:rFonts w:cs="Calibri"/>
                <w:color w:val="000000"/>
                <w:lang w:eastAsia="pt-BR"/>
              </w:rPr>
              <w:t> </w:t>
            </w:r>
            <w:r>
              <w:rPr>
                <w:rFonts w:cs="Calibri"/>
                <w:color w:val="000000"/>
                <w:lang w:eastAsia="pt-BR"/>
              </w:rPr>
              <w:t>R$ 6,17</w:t>
            </w:r>
          </w:p>
        </w:tc>
        <w:tc>
          <w:tcPr>
            <w:tcW w:w="935" w:type="pct"/>
            <w:tcBorders>
              <w:top w:val="nil"/>
              <w:left w:val="nil"/>
              <w:bottom w:val="single" w:sz="4" w:space="0" w:color="auto"/>
              <w:right w:val="single" w:sz="4" w:space="0" w:color="auto"/>
            </w:tcBorders>
            <w:shd w:val="clear" w:color="000000" w:fill="FFFFFF"/>
            <w:noWrap/>
            <w:vAlign w:val="center"/>
          </w:tcPr>
          <w:p w14:paraId="4225E22A" w14:textId="1254061A" w:rsidR="006B3DE8" w:rsidRPr="00A56FF1" w:rsidRDefault="006B3DE8" w:rsidP="00055AA1">
            <w:pPr>
              <w:suppressAutoHyphens w:val="0"/>
              <w:jc w:val="center"/>
              <w:rPr>
                <w:rFonts w:ascii="Calibri" w:hAnsi="Calibri" w:cs="Calibri"/>
                <w:color w:val="000000"/>
                <w:sz w:val="22"/>
                <w:szCs w:val="22"/>
                <w:lang w:eastAsia="pt-BR"/>
              </w:rPr>
            </w:pPr>
            <w:r>
              <w:rPr>
                <w:rFonts w:cs="Calibri"/>
                <w:color w:val="000000"/>
                <w:lang w:eastAsia="pt-BR"/>
              </w:rPr>
              <w:t>R$ 200.685,42</w:t>
            </w:r>
          </w:p>
        </w:tc>
      </w:tr>
    </w:tbl>
    <w:p w14:paraId="704F35E3" w14:textId="012F2858" w:rsidR="00944995" w:rsidRPr="00FB4958" w:rsidRDefault="00944995" w:rsidP="00944995">
      <w:pPr>
        <w:suppressAutoHyphens w:val="0"/>
        <w:spacing w:before="120" w:after="120"/>
        <w:jc w:val="both"/>
        <w:rPr>
          <w:rFonts w:ascii="Cambria" w:hAnsi="Cambria" w:cs="Calibri Light"/>
          <w:b/>
          <w:sz w:val="22"/>
          <w:szCs w:val="22"/>
        </w:rPr>
      </w:pPr>
    </w:p>
    <w:p w14:paraId="3321C97F" w14:textId="77777777" w:rsidR="001F35C6" w:rsidRPr="00FB4958" w:rsidRDefault="001F35C6" w:rsidP="003F7EDF">
      <w:pPr>
        <w:numPr>
          <w:ilvl w:val="0"/>
          <w:numId w:val="2"/>
        </w:numPr>
        <w:spacing w:before="120"/>
        <w:ind w:left="357" w:hanging="357"/>
        <w:jc w:val="center"/>
        <w:rPr>
          <w:rFonts w:ascii="Cambria" w:hAnsi="Cambria" w:cs="Calibri Light"/>
          <w:b/>
          <w:bCs/>
          <w:sz w:val="22"/>
          <w:szCs w:val="22"/>
        </w:rPr>
      </w:pPr>
      <w:r w:rsidRPr="00FB4958">
        <w:rPr>
          <w:rFonts w:ascii="Cambria" w:hAnsi="Cambria" w:cs="Calibri Light"/>
          <w:b/>
          <w:bCs/>
          <w:sz w:val="22"/>
          <w:szCs w:val="22"/>
        </w:rPr>
        <w:t>CLÁUSULA SEGUNDA – VIGÊNCIA</w:t>
      </w:r>
    </w:p>
    <w:p w14:paraId="323BD85E" w14:textId="3F0EBD3B" w:rsidR="001F35C6" w:rsidRPr="00FB4958" w:rsidRDefault="001F35C6" w:rsidP="003F7EDF">
      <w:pPr>
        <w:numPr>
          <w:ilvl w:val="1"/>
          <w:numId w:val="2"/>
        </w:numPr>
        <w:spacing w:before="120" w:after="120"/>
        <w:jc w:val="both"/>
        <w:rPr>
          <w:rFonts w:ascii="Cambria" w:hAnsi="Cambria" w:cs="Calibri Light"/>
          <w:sz w:val="22"/>
          <w:szCs w:val="22"/>
          <w:lang w:eastAsia="pt-BR"/>
        </w:rPr>
      </w:pPr>
      <w:r w:rsidRPr="00FB4958">
        <w:rPr>
          <w:rFonts w:ascii="Cambria" w:hAnsi="Cambria" w:cs="Calibri Light"/>
          <w:bCs/>
          <w:iCs/>
          <w:sz w:val="22"/>
          <w:szCs w:val="22"/>
        </w:rPr>
        <w:t xml:space="preserve">O prazo de vigência deste Termo </w:t>
      </w:r>
      <w:bookmarkStart w:id="1" w:name="_GoBack"/>
      <w:bookmarkEnd w:id="1"/>
      <w:r w:rsidRPr="00FB4958">
        <w:rPr>
          <w:rFonts w:ascii="Cambria" w:hAnsi="Cambria" w:cs="Calibri Light"/>
          <w:bCs/>
          <w:iCs/>
          <w:sz w:val="22"/>
          <w:szCs w:val="22"/>
        </w:rPr>
        <w:t xml:space="preserve">de Contrato tem início na data de </w:t>
      </w:r>
      <w:r w:rsidR="00944995">
        <w:rPr>
          <w:rFonts w:ascii="Cambria" w:hAnsi="Cambria" w:cs="Calibri Light"/>
          <w:bCs/>
          <w:iCs/>
          <w:sz w:val="22"/>
          <w:szCs w:val="22"/>
        </w:rPr>
        <w:t>02/01/2025</w:t>
      </w:r>
      <w:r w:rsidRPr="00FB4958">
        <w:rPr>
          <w:rFonts w:ascii="Cambria" w:hAnsi="Cambria" w:cs="Calibri Light"/>
          <w:bCs/>
          <w:iCs/>
          <w:sz w:val="22"/>
          <w:szCs w:val="22"/>
        </w:rPr>
        <w:t xml:space="preserve"> e encerramento em </w:t>
      </w:r>
      <w:r w:rsidR="00944995">
        <w:rPr>
          <w:rFonts w:ascii="Cambria" w:hAnsi="Cambria" w:cs="Calibri Light"/>
          <w:bCs/>
          <w:iCs/>
          <w:sz w:val="22"/>
          <w:szCs w:val="22"/>
        </w:rPr>
        <w:t>31/12/2025</w:t>
      </w:r>
      <w:r w:rsidRPr="00FB4958">
        <w:rPr>
          <w:rFonts w:ascii="Cambria" w:hAnsi="Cambria" w:cs="Calibri Light"/>
          <w:bCs/>
          <w:iCs/>
          <w:sz w:val="22"/>
          <w:szCs w:val="22"/>
        </w:rPr>
        <w:t>, prorrogável na forma da Lei nº 14.133, de 2021.</w:t>
      </w:r>
    </w:p>
    <w:p w14:paraId="3CE84FB6" w14:textId="77777777" w:rsidR="001F35C6" w:rsidRPr="00FB4958" w:rsidRDefault="001F35C6" w:rsidP="003F7EDF">
      <w:pPr>
        <w:pStyle w:val="Corpodetexto21"/>
        <w:spacing w:before="120" w:after="120"/>
        <w:rPr>
          <w:rFonts w:ascii="Cambria" w:hAnsi="Cambria" w:cs="Calibri Light"/>
          <w:sz w:val="22"/>
          <w:szCs w:val="22"/>
        </w:rPr>
      </w:pPr>
      <w:r w:rsidRPr="00FB4958">
        <w:rPr>
          <w:rFonts w:ascii="Cambria" w:hAnsi="Cambria" w:cs="Calibri Light"/>
          <w:sz w:val="22"/>
          <w:szCs w:val="22"/>
        </w:rPr>
        <w:t>CLÁUSULA TERCEIRA – PREÇO</w:t>
      </w:r>
    </w:p>
    <w:p w14:paraId="3746D07C" w14:textId="3609B4AA" w:rsidR="001F35C6" w:rsidRPr="00FB4958" w:rsidRDefault="001F35C6" w:rsidP="003F7EDF">
      <w:pPr>
        <w:numPr>
          <w:ilvl w:val="1"/>
          <w:numId w:val="2"/>
        </w:numPr>
        <w:suppressAutoHyphens w:val="0"/>
        <w:spacing w:before="120" w:after="120"/>
        <w:ind w:left="425"/>
        <w:jc w:val="both"/>
        <w:rPr>
          <w:rFonts w:ascii="Cambria" w:hAnsi="Cambria" w:cs="Calibri Light"/>
          <w:b/>
          <w:bCs/>
          <w:sz w:val="22"/>
          <w:szCs w:val="22"/>
        </w:rPr>
      </w:pPr>
      <w:r w:rsidRPr="00FB4958">
        <w:rPr>
          <w:rFonts w:ascii="Cambria" w:hAnsi="Cambria" w:cs="Calibri Light"/>
          <w:sz w:val="22"/>
          <w:szCs w:val="22"/>
        </w:rPr>
        <w:t xml:space="preserve">O valor do presente Termo de Contrato é de </w:t>
      </w:r>
      <w:r w:rsidRPr="000D5BCC">
        <w:rPr>
          <w:rFonts w:ascii="Cambria" w:hAnsi="Cambria" w:cs="Calibri Light"/>
          <w:b/>
          <w:sz w:val="22"/>
          <w:szCs w:val="22"/>
        </w:rPr>
        <w:t xml:space="preserve">R$ </w:t>
      </w:r>
      <w:r w:rsidR="00690338">
        <w:rPr>
          <w:rFonts w:ascii="Cambria" w:hAnsi="Cambria" w:cs="Calibri Light"/>
          <w:b/>
          <w:sz w:val="22"/>
          <w:szCs w:val="22"/>
        </w:rPr>
        <w:t>498.949,23</w:t>
      </w:r>
      <w:r w:rsidRPr="00FB4958">
        <w:rPr>
          <w:rFonts w:ascii="Cambria" w:hAnsi="Cambria" w:cs="Calibri Light"/>
          <w:sz w:val="22"/>
          <w:szCs w:val="22"/>
        </w:rPr>
        <w:t xml:space="preserve"> (</w:t>
      </w:r>
      <w:r w:rsidR="00690338">
        <w:rPr>
          <w:rFonts w:ascii="Cambria" w:hAnsi="Cambria" w:cs="Calibri Light"/>
          <w:b/>
          <w:sz w:val="22"/>
          <w:szCs w:val="22"/>
        </w:rPr>
        <w:t xml:space="preserve">quatrocentos e noventa </w:t>
      </w:r>
      <w:proofErr w:type="gramStart"/>
      <w:r w:rsidR="00690338">
        <w:rPr>
          <w:rFonts w:ascii="Cambria" w:hAnsi="Cambria" w:cs="Calibri Light"/>
          <w:b/>
          <w:sz w:val="22"/>
          <w:szCs w:val="22"/>
        </w:rPr>
        <w:t>e  oito</w:t>
      </w:r>
      <w:proofErr w:type="gramEnd"/>
      <w:r w:rsidR="00690338">
        <w:rPr>
          <w:rFonts w:ascii="Cambria" w:hAnsi="Cambria" w:cs="Calibri Light"/>
          <w:b/>
          <w:sz w:val="22"/>
          <w:szCs w:val="22"/>
        </w:rPr>
        <w:t xml:space="preserve"> mil novecentos e quarenta e nove reais e vinte e três centavos</w:t>
      </w:r>
      <w:r w:rsidRPr="00FB4958">
        <w:rPr>
          <w:rFonts w:ascii="Cambria" w:hAnsi="Cambria" w:cs="Calibri Light"/>
          <w:sz w:val="22"/>
          <w:szCs w:val="22"/>
        </w:rPr>
        <w:t>)</w:t>
      </w:r>
      <w:r w:rsidRPr="00FB4958">
        <w:rPr>
          <w:rFonts w:ascii="Cambria" w:hAnsi="Cambria" w:cs="Calibri Light"/>
          <w:b/>
          <w:bCs/>
          <w:sz w:val="22"/>
          <w:szCs w:val="22"/>
        </w:rPr>
        <w:t>.</w:t>
      </w:r>
    </w:p>
    <w:p w14:paraId="32B8F6F2" w14:textId="77777777" w:rsidR="001F35C6" w:rsidRPr="00FB4958" w:rsidRDefault="001F35C6" w:rsidP="003F7EDF">
      <w:pPr>
        <w:pStyle w:val="western"/>
        <w:numPr>
          <w:ilvl w:val="1"/>
          <w:numId w:val="2"/>
        </w:numPr>
        <w:spacing w:before="120" w:after="120" w:line="240" w:lineRule="auto"/>
        <w:jc w:val="both"/>
        <w:rPr>
          <w:rFonts w:ascii="Cambria" w:hAnsi="Cambria" w:cs="Calibri Light"/>
          <w:b/>
          <w:sz w:val="22"/>
          <w:szCs w:val="22"/>
        </w:rPr>
      </w:pPr>
      <w:r w:rsidRPr="00FB4958">
        <w:rPr>
          <w:rFonts w:ascii="Cambria" w:hAnsi="Cambria" w:cs="Calibri Light"/>
          <w:sz w:val="22"/>
          <w:szCs w:val="22"/>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14:paraId="7CE669D8"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TERCEIRA – DOTAÇÃO ORÇAMENTÁRIA</w:t>
      </w:r>
    </w:p>
    <w:p w14:paraId="2E776BB2" w14:textId="6A1766BA" w:rsidR="001F35C6" w:rsidRDefault="001F35C6" w:rsidP="003F7EDF">
      <w:pPr>
        <w:pStyle w:val="PargrafodaLista"/>
        <w:numPr>
          <w:ilvl w:val="1"/>
          <w:numId w:val="8"/>
        </w:numPr>
        <w:suppressAutoHyphens w:val="0"/>
        <w:spacing w:before="120" w:after="120"/>
        <w:jc w:val="both"/>
        <w:rPr>
          <w:rFonts w:ascii="Cambria" w:hAnsi="Cambria" w:cs="Calibri Light"/>
          <w:sz w:val="22"/>
          <w:szCs w:val="22"/>
        </w:rPr>
      </w:pPr>
      <w:r w:rsidRPr="00FB4958">
        <w:rPr>
          <w:rFonts w:ascii="Cambria" w:hAnsi="Cambria" w:cs="Calibri Light"/>
          <w:sz w:val="22"/>
          <w:szCs w:val="22"/>
        </w:rPr>
        <w:t xml:space="preserve">As despesas decorrentes desta contratação estão programadas em dotação orçamentária própria, prevista no orçamento do órgão contratante, para o exercício de </w:t>
      </w:r>
      <w:r w:rsidR="00B57C4F">
        <w:rPr>
          <w:rFonts w:ascii="Cambria" w:hAnsi="Cambria" w:cs="Calibri Light"/>
          <w:sz w:val="22"/>
          <w:szCs w:val="22"/>
        </w:rPr>
        <w:t>2025</w:t>
      </w:r>
      <w:r w:rsidRPr="00FB4958">
        <w:rPr>
          <w:rFonts w:ascii="Cambria" w:hAnsi="Cambria" w:cs="Calibri Light"/>
          <w:i/>
          <w:sz w:val="22"/>
          <w:szCs w:val="22"/>
        </w:rPr>
        <w:t>,</w:t>
      </w:r>
      <w:r w:rsidRPr="00FB4958">
        <w:rPr>
          <w:rFonts w:ascii="Cambria" w:hAnsi="Cambria" w:cs="Calibri Light"/>
          <w:sz w:val="22"/>
          <w:szCs w:val="22"/>
        </w:rPr>
        <w:t xml:space="preserve"> na classificação abaixo:</w:t>
      </w:r>
    </w:p>
    <w:tbl>
      <w:tblPr>
        <w:tblW w:w="10505" w:type="dxa"/>
        <w:jc w:val="center"/>
        <w:tblLook w:val="04A0" w:firstRow="1" w:lastRow="0" w:firstColumn="1" w:lastColumn="0" w:noHBand="0" w:noVBand="1"/>
      </w:tblPr>
      <w:tblGrid>
        <w:gridCol w:w="1505"/>
        <w:gridCol w:w="911"/>
        <w:gridCol w:w="844"/>
        <w:gridCol w:w="1005"/>
        <w:gridCol w:w="1283"/>
        <w:gridCol w:w="1377"/>
        <w:gridCol w:w="1049"/>
        <w:gridCol w:w="1634"/>
        <w:gridCol w:w="897"/>
      </w:tblGrid>
      <w:tr w:rsidR="000D5BCC" w:rsidRPr="000D5BCC" w14:paraId="506D1AF9" w14:textId="77777777" w:rsidTr="000D5BCC">
        <w:trPr>
          <w:trHeight w:val="382"/>
          <w:jc w:val="center"/>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088E26A4"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mbria" w:hAnsi="Cambria" w:cs="Arial"/>
                <w:b/>
                <w:bCs/>
                <w:sz w:val="24"/>
                <w:szCs w:val="24"/>
                <w:lang w:eastAsia="pt-BR"/>
              </w:rPr>
              <w:t>DOTAÇÃO ORÇAMENTAR</w:t>
            </w:r>
            <w:r w:rsidRPr="000D5BCC">
              <w:rPr>
                <w:rFonts w:ascii="Cambria" w:hAnsi="Cambria" w:cs="Calibri"/>
                <w:b/>
                <w:bCs/>
                <w:sz w:val="24"/>
                <w:szCs w:val="24"/>
                <w:lang w:eastAsia="pt-BR"/>
              </w:rPr>
              <w:t>IA</w:t>
            </w:r>
          </w:p>
        </w:tc>
      </w:tr>
      <w:tr w:rsidR="000D5BCC" w:rsidRPr="000D5BCC" w14:paraId="7F85AF0F" w14:textId="77777777" w:rsidTr="000D5BCC">
        <w:trPr>
          <w:trHeight w:val="464"/>
          <w:jc w:val="center"/>
        </w:trPr>
        <w:tc>
          <w:tcPr>
            <w:tcW w:w="1505" w:type="dxa"/>
            <w:tcBorders>
              <w:top w:val="single" w:sz="4" w:space="0" w:color="000000"/>
              <w:left w:val="single" w:sz="4" w:space="0" w:color="000000"/>
              <w:bottom w:val="single" w:sz="4" w:space="0" w:color="000000"/>
              <w:right w:val="single" w:sz="4" w:space="0" w:color="auto"/>
            </w:tcBorders>
            <w:shd w:val="clear" w:color="auto" w:fill="F4B083" w:themeFill="accent2" w:themeFillTint="99"/>
            <w:vAlign w:val="center"/>
            <w:hideMark/>
          </w:tcPr>
          <w:p w14:paraId="04B0A18C" w14:textId="77777777" w:rsidR="000D5BCC" w:rsidRPr="000D5BCC" w:rsidRDefault="000D5BCC" w:rsidP="000D5BCC">
            <w:pPr>
              <w:suppressAutoHyphens w:val="0"/>
              <w:spacing w:after="160" w:line="259" w:lineRule="auto"/>
              <w:rPr>
                <w:rFonts w:ascii="Calibri" w:eastAsia="Calibri" w:hAnsi="Calibri" w:cs="Calibri"/>
                <w:b/>
                <w:sz w:val="22"/>
                <w:szCs w:val="22"/>
                <w:lang w:eastAsia="en-US"/>
              </w:rPr>
            </w:pPr>
          </w:p>
        </w:tc>
        <w:tc>
          <w:tcPr>
            <w:tcW w:w="911" w:type="dxa"/>
            <w:tcBorders>
              <w:top w:val="single" w:sz="4" w:space="0" w:color="000000"/>
              <w:left w:val="single" w:sz="4" w:space="0" w:color="auto"/>
              <w:bottom w:val="single" w:sz="4" w:space="0" w:color="000000"/>
              <w:right w:val="single" w:sz="4" w:space="0" w:color="000000"/>
            </w:tcBorders>
            <w:shd w:val="clear" w:color="auto" w:fill="F4B083" w:themeFill="accent2" w:themeFillTint="99"/>
            <w:vAlign w:val="center"/>
            <w:hideMark/>
          </w:tcPr>
          <w:p w14:paraId="0732183B"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ÓRGÃO</w:t>
            </w:r>
          </w:p>
        </w:tc>
        <w:tc>
          <w:tcPr>
            <w:tcW w:w="84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27D854E5"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UNID.</w:t>
            </w:r>
          </w:p>
        </w:tc>
        <w:tc>
          <w:tcPr>
            <w:tcW w:w="1005"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313D9748"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FUNÇÃO</w:t>
            </w:r>
          </w:p>
        </w:tc>
        <w:tc>
          <w:tcPr>
            <w:tcW w:w="1283"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22E16094"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SUB-FUNÇÃO</w:t>
            </w:r>
          </w:p>
        </w:tc>
        <w:tc>
          <w:tcPr>
            <w:tcW w:w="137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3B42C2D1"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PROGRAMA</w:t>
            </w:r>
          </w:p>
        </w:tc>
        <w:tc>
          <w:tcPr>
            <w:tcW w:w="104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0B38967C"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PROJ. /ATIV.</w:t>
            </w:r>
          </w:p>
        </w:tc>
        <w:tc>
          <w:tcPr>
            <w:tcW w:w="1634"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14F1BC43"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CLASSIFICAÇÃO</w:t>
            </w:r>
          </w:p>
        </w:tc>
        <w:tc>
          <w:tcPr>
            <w:tcW w:w="897"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vAlign w:val="center"/>
            <w:hideMark/>
          </w:tcPr>
          <w:p w14:paraId="18D00612" w14:textId="77777777" w:rsidR="000D5BCC" w:rsidRPr="000D5BCC" w:rsidRDefault="000D5BCC" w:rsidP="000D5BCC">
            <w:pPr>
              <w:suppressAutoHyphens w:val="0"/>
              <w:spacing w:before="120" w:after="120" w:line="254" w:lineRule="auto"/>
              <w:jc w:val="center"/>
              <w:rPr>
                <w:rFonts w:ascii="Calibri" w:eastAsia="Calibri" w:hAnsi="Calibri" w:cs="Calibri"/>
                <w:b/>
                <w:sz w:val="22"/>
                <w:szCs w:val="22"/>
                <w:lang w:eastAsia="en-US"/>
              </w:rPr>
            </w:pPr>
            <w:r w:rsidRPr="000D5BCC">
              <w:rPr>
                <w:rFonts w:ascii="Calibri" w:eastAsia="Calibri" w:hAnsi="Calibri" w:cs="Calibri"/>
                <w:b/>
                <w:sz w:val="22"/>
                <w:szCs w:val="22"/>
                <w:lang w:eastAsia="en-US"/>
              </w:rPr>
              <w:t>FONTE</w:t>
            </w:r>
          </w:p>
        </w:tc>
      </w:tr>
      <w:tr w:rsidR="000D5BCC" w:rsidRPr="000D5BCC" w14:paraId="3597BEF7" w14:textId="77777777" w:rsidTr="006B0FDC">
        <w:trPr>
          <w:trHeight w:val="131"/>
          <w:jc w:val="center"/>
        </w:trPr>
        <w:tc>
          <w:tcPr>
            <w:tcW w:w="1505" w:type="dxa"/>
            <w:tcBorders>
              <w:top w:val="single" w:sz="4" w:space="0" w:color="000000"/>
              <w:left w:val="single" w:sz="4" w:space="0" w:color="000000"/>
              <w:bottom w:val="single" w:sz="4" w:space="0" w:color="000000"/>
              <w:right w:val="single" w:sz="4" w:space="0" w:color="auto"/>
            </w:tcBorders>
            <w:vAlign w:val="center"/>
          </w:tcPr>
          <w:p w14:paraId="12B7053F"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SAÚDE</w:t>
            </w:r>
          </w:p>
        </w:tc>
        <w:tc>
          <w:tcPr>
            <w:tcW w:w="911" w:type="dxa"/>
            <w:tcBorders>
              <w:top w:val="single" w:sz="4" w:space="0" w:color="000000"/>
              <w:left w:val="single" w:sz="4" w:space="0" w:color="auto"/>
              <w:bottom w:val="single" w:sz="4" w:space="0" w:color="000000"/>
              <w:right w:val="single" w:sz="4" w:space="0" w:color="000000"/>
            </w:tcBorders>
            <w:vAlign w:val="center"/>
          </w:tcPr>
          <w:p w14:paraId="12510088"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12</w:t>
            </w:r>
          </w:p>
          <w:p w14:paraId="488E0F30"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12</w:t>
            </w:r>
          </w:p>
        </w:tc>
        <w:tc>
          <w:tcPr>
            <w:tcW w:w="844" w:type="dxa"/>
            <w:tcBorders>
              <w:top w:val="single" w:sz="4" w:space="0" w:color="000000"/>
              <w:left w:val="single" w:sz="4" w:space="0" w:color="000000"/>
              <w:bottom w:val="single" w:sz="4" w:space="0" w:color="000000"/>
              <w:right w:val="single" w:sz="4" w:space="0" w:color="000000"/>
            </w:tcBorders>
            <w:vAlign w:val="center"/>
          </w:tcPr>
          <w:p w14:paraId="0CE97D9B"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018</w:t>
            </w:r>
          </w:p>
          <w:p w14:paraId="74845CA0"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018</w:t>
            </w:r>
          </w:p>
        </w:tc>
        <w:tc>
          <w:tcPr>
            <w:tcW w:w="1005" w:type="dxa"/>
            <w:tcBorders>
              <w:top w:val="single" w:sz="4" w:space="0" w:color="000000"/>
              <w:left w:val="single" w:sz="4" w:space="0" w:color="000000"/>
              <w:bottom w:val="single" w:sz="4" w:space="0" w:color="000000"/>
              <w:right w:val="single" w:sz="4" w:space="0" w:color="000000"/>
            </w:tcBorders>
            <w:vAlign w:val="center"/>
          </w:tcPr>
          <w:p w14:paraId="14E2649B"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10</w:t>
            </w:r>
          </w:p>
          <w:p w14:paraId="4C3A5929"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10</w:t>
            </w:r>
          </w:p>
        </w:tc>
        <w:tc>
          <w:tcPr>
            <w:tcW w:w="1283" w:type="dxa"/>
            <w:tcBorders>
              <w:top w:val="single" w:sz="4" w:space="0" w:color="000000"/>
              <w:left w:val="single" w:sz="4" w:space="0" w:color="000000"/>
              <w:bottom w:val="single" w:sz="4" w:space="0" w:color="000000"/>
              <w:right w:val="single" w:sz="4" w:space="0" w:color="000000"/>
            </w:tcBorders>
            <w:vAlign w:val="center"/>
          </w:tcPr>
          <w:p w14:paraId="757B6557"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301</w:t>
            </w:r>
          </w:p>
          <w:p w14:paraId="19EBA694"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301</w:t>
            </w:r>
          </w:p>
        </w:tc>
        <w:tc>
          <w:tcPr>
            <w:tcW w:w="1377" w:type="dxa"/>
            <w:tcBorders>
              <w:top w:val="single" w:sz="4" w:space="0" w:color="000000"/>
              <w:left w:val="single" w:sz="4" w:space="0" w:color="000000"/>
              <w:bottom w:val="single" w:sz="4" w:space="0" w:color="000000"/>
              <w:right w:val="single" w:sz="4" w:space="0" w:color="000000"/>
            </w:tcBorders>
            <w:vAlign w:val="center"/>
          </w:tcPr>
          <w:p w14:paraId="00624BDE"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0210</w:t>
            </w:r>
          </w:p>
          <w:p w14:paraId="56053DCB"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0210</w:t>
            </w:r>
          </w:p>
        </w:tc>
        <w:tc>
          <w:tcPr>
            <w:tcW w:w="1049" w:type="dxa"/>
            <w:tcBorders>
              <w:top w:val="single" w:sz="4" w:space="0" w:color="000000"/>
              <w:left w:val="single" w:sz="4" w:space="0" w:color="000000"/>
              <w:bottom w:val="single" w:sz="4" w:space="0" w:color="000000"/>
              <w:right w:val="single" w:sz="4" w:space="0" w:color="000000"/>
            </w:tcBorders>
            <w:vAlign w:val="center"/>
          </w:tcPr>
          <w:p w14:paraId="22206CCA"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2027</w:t>
            </w:r>
          </w:p>
          <w:p w14:paraId="50FA53A7"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2027</w:t>
            </w:r>
          </w:p>
        </w:tc>
        <w:tc>
          <w:tcPr>
            <w:tcW w:w="1634" w:type="dxa"/>
            <w:tcBorders>
              <w:top w:val="single" w:sz="4" w:space="0" w:color="000000"/>
              <w:left w:val="single" w:sz="4" w:space="0" w:color="000000"/>
              <w:bottom w:val="single" w:sz="4" w:space="0" w:color="000000"/>
              <w:right w:val="single" w:sz="4" w:space="0" w:color="000000"/>
            </w:tcBorders>
            <w:vAlign w:val="center"/>
          </w:tcPr>
          <w:p w14:paraId="2E681871" w14:textId="77777777" w:rsidR="000D5BCC" w:rsidRPr="000D5BCC" w:rsidRDefault="000D5BCC" w:rsidP="000D5BCC">
            <w:pPr>
              <w:suppressAutoHyphens w:val="0"/>
              <w:spacing w:before="120" w:after="12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3.3.90.30</w:t>
            </w:r>
          </w:p>
        </w:tc>
        <w:tc>
          <w:tcPr>
            <w:tcW w:w="897" w:type="dxa"/>
            <w:tcBorders>
              <w:top w:val="single" w:sz="4" w:space="0" w:color="000000"/>
              <w:left w:val="single" w:sz="4" w:space="0" w:color="000000"/>
              <w:bottom w:val="single" w:sz="4" w:space="0" w:color="000000"/>
              <w:right w:val="single" w:sz="4" w:space="0" w:color="000000"/>
            </w:tcBorders>
            <w:vAlign w:val="center"/>
          </w:tcPr>
          <w:p w14:paraId="6A7E7AAB"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600</w:t>
            </w:r>
          </w:p>
          <w:p w14:paraId="1134E73D" w14:textId="77777777" w:rsidR="000D5BCC" w:rsidRPr="000D5BCC" w:rsidRDefault="000D5BCC" w:rsidP="000D5BCC">
            <w:pPr>
              <w:suppressAutoHyphens w:val="0"/>
              <w:spacing w:after="160" w:line="254" w:lineRule="auto"/>
              <w:jc w:val="center"/>
              <w:rPr>
                <w:rFonts w:ascii="Calibri" w:eastAsia="Calibri" w:hAnsi="Calibri" w:cs="Calibri"/>
                <w:sz w:val="22"/>
                <w:szCs w:val="22"/>
                <w:lang w:eastAsia="en-US"/>
              </w:rPr>
            </w:pPr>
            <w:r w:rsidRPr="000D5BCC">
              <w:rPr>
                <w:rFonts w:ascii="Calibri" w:eastAsia="Calibri" w:hAnsi="Calibri" w:cs="Calibri"/>
                <w:sz w:val="22"/>
                <w:szCs w:val="22"/>
                <w:lang w:eastAsia="en-US"/>
              </w:rPr>
              <w:t>500</w:t>
            </w:r>
          </w:p>
        </w:tc>
      </w:tr>
    </w:tbl>
    <w:p w14:paraId="1ECCD9EB" w14:textId="77777777" w:rsidR="000D5BCC" w:rsidRPr="000D5BCC" w:rsidRDefault="000D5BCC" w:rsidP="000D5BCC">
      <w:pPr>
        <w:suppressAutoHyphens w:val="0"/>
        <w:spacing w:before="120" w:after="120"/>
        <w:jc w:val="both"/>
        <w:rPr>
          <w:rFonts w:ascii="Cambria" w:hAnsi="Cambria" w:cs="Calibri Light"/>
          <w:sz w:val="22"/>
          <w:szCs w:val="22"/>
        </w:rPr>
      </w:pPr>
    </w:p>
    <w:p w14:paraId="538ECF13" w14:textId="77777777" w:rsidR="001F35C6" w:rsidRPr="00FB4958" w:rsidRDefault="001F35C6" w:rsidP="003F7EDF">
      <w:pPr>
        <w:pStyle w:val="Nivel01"/>
        <w:numPr>
          <w:ilvl w:val="0"/>
          <w:numId w:val="8"/>
        </w:numPr>
        <w:spacing w:before="120" w:after="120"/>
        <w:rPr>
          <w:rFonts w:ascii="Cambria" w:hAnsi="Cambria" w:cs="Calibri Light"/>
          <w:sz w:val="22"/>
          <w:szCs w:val="22"/>
        </w:rPr>
      </w:pPr>
      <w:r w:rsidRPr="00FB4958">
        <w:rPr>
          <w:rFonts w:ascii="Cambria" w:hAnsi="Cambria" w:cs="Calibri Light"/>
          <w:sz w:val="22"/>
          <w:szCs w:val="22"/>
        </w:rPr>
        <w:t>CLÁUSULA QUANTA – PAGAMENTO</w:t>
      </w:r>
    </w:p>
    <w:p w14:paraId="28AAFB3F" w14:textId="77777777" w:rsidR="001F35C6" w:rsidRPr="00FB4958" w:rsidRDefault="001F35C6" w:rsidP="003F7EDF">
      <w:pPr>
        <w:pStyle w:val="PargrafodaLista"/>
        <w:numPr>
          <w:ilvl w:val="1"/>
          <w:numId w:val="9"/>
        </w:numPr>
        <w:spacing w:before="120" w:after="120"/>
        <w:jc w:val="both"/>
        <w:rPr>
          <w:rFonts w:ascii="Cambria" w:hAnsi="Cambria" w:cs="Calibri Light"/>
          <w:sz w:val="22"/>
          <w:szCs w:val="22"/>
        </w:rPr>
      </w:pPr>
      <w:r w:rsidRPr="00FB4958">
        <w:rPr>
          <w:rFonts w:ascii="Cambria" w:hAnsi="Cambria" w:cs="Calibri Light"/>
          <w:sz w:val="22"/>
          <w:szCs w:val="22"/>
          <w:lang w:eastAsia="en-US"/>
        </w:rPr>
        <w:t xml:space="preserve">O pagamento será realizado no prazo máximo de até 30 (trinta) dias, contados a partir </w:t>
      </w:r>
      <w:r w:rsidRPr="00FB4958">
        <w:rPr>
          <w:rFonts w:ascii="Cambria" w:hAnsi="Cambria" w:cs="Calibri Light"/>
          <w:sz w:val="22"/>
          <w:szCs w:val="22"/>
        </w:rPr>
        <w:t xml:space="preserve">da data final do período de adimplemento a que se referir, </w:t>
      </w:r>
      <w:r w:rsidRPr="00FB4958">
        <w:rPr>
          <w:rFonts w:ascii="Cambria" w:hAnsi="Cambria" w:cs="Calibri Light"/>
          <w:sz w:val="22"/>
          <w:szCs w:val="22"/>
          <w:lang w:eastAsia="en-US"/>
        </w:rPr>
        <w:t>através de ordem bancária, para crédito em banco, agência e conta corrente indicados pelo contratado.</w:t>
      </w:r>
    </w:p>
    <w:p w14:paraId="42757694"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rPr>
        <w:t>O pagamento somente será autorizado depois de efetuado o “atesto” pelo servidor competente na nota fiscal apresentada, bem como após a autorização e aceite do bem pelo órgão concedente do convênio.</w:t>
      </w:r>
    </w:p>
    <w:p w14:paraId="2F52EBAD"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lang w:eastAsia="en-US"/>
        </w:rPr>
      </w:pPr>
      <w:r w:rsidRPr="00FB4958">
        <w:rPr>
          <w:rFonts w:ascii="Cambria" w:hAnsi="Cambria" w:cs="Calibri Light"/>
          <w:sz w:val="22"/>
          <w:szCs w:val="22"/>
          <w:lang w:eastAsia="en-US"/>
        </w:rPr>
        <w:t xml:space="preserve">Havendo erro na apresentação da Nota Fiscal ou dos documentos pertinentes à contratação, ou, ainda, circunstância que impeça a liquidação da despesa, como, por exemplo, </w:t>
      </w:r>
      <w:r w:rsidRPr="00FB4958">
        <w:rPr>
          <w:rFonts w:ascii="Cambria" w:hAnsi="Cambria" w:cs="Calibri Light"/>
          <w:sz w:val="22"/>
          <w:szCs w:val="22"/>
        </w:rPr>
        <w:t>obrigação financeira pendente, decorrente de penalidade imposta ou inadimplência,</w:t>
      </w:r>
      <w:r w:rsidRPr="00FB4958">
        <w:rPr>
          <w:rFonts w:ascii="Cambria" w:hAnsi="Cambria" w:cs="Calibri Light"/>
          <w:sz w:val="22"/>
          <w:szCs w:val="22"/>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14:paraId="1B281282"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rPr>
        <w:t xml:space="preserve">Será considerada data do pagamento o dia </w:t>
      </w:r>
      <w:r w:rsidRPr="00FB4958">
        <w:rPr>
          <w:rFonts w:ascii="Cambria" w:hAnsi="Cambria" w:cs="Calibri Light"/>
          <w:sz w:val="22"/>
          <w:szCs w:val="22"/>
          <w:lang w:eastAsia="en-US"/>
        </w:rPr>
        <w:t>em que constar como emitida a ordem bancária para pagamento.</w:t>
      </w:r>
    </w:p>
    <w:p w14:paraId="6B5AC3B7"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 xml:space="preserve">Antes de cada pagamento à contratada, a contratante poderá realizar consulta para verificar a manutenção das condições de habilitação exigidas no edital. </w:t>
      </w:r>
    </w:p>
    <w:p w14:paraId="1413300E"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Constatando-se, a situação de irregularidade da contratada, será providenciada sua advertência, por e-mail, para que, no prazo de 5 (cinco) dias, regularize sua situação ou, no mesmo prazo, apresente sua defesa. O prazo poderá ser prorrogado uma vez, por igual período, a critério da contratante.</w:t>
      </w:r>
    </w:p>
    <w:p w14:paraId="3F274434"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 xml:space="preserve">Persistindo a irregularidade, a contratante deverá adotar as medidas necessárias à rescisão contratual nos autos do processo administrativo correspondente, assegurada à contratada a ampla defesa. </w:t>
      </w:r>
    </w:p>
    <w:p w14:paraId="607064CB" w14:textId="77777777" w:rsidR="001F35C6" w:rsidRPr="00FB4958" w:rsidRDefault="001F35C6" w:rsidP="003F7EDF">
      <w:pPr>
        <w:pStyle w:val="PargrafodaLista"/>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Havendo a efetiva execução do objeto, os pagamentos serão realizados normalmente, até que se decida pela rescisão do contrato, caso a contratada não regularize sua situação.</w:t>
      </w:r>
    </w:p>
    <w:p w14:paraId="52D79AC8"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w:t>
      </w:r>
    </w:p>
    <w:p w14:paraId="3459DF19"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rPr>
        <w:t>Quando do pagamento, será efetuada a retenção tributária prevista na legislação aplicável conforme o caso.</w:t>
      </w:r>
    </w:p>
    <w:p w14:paraId="76D07FE5" w14:textId="77777777" w:rsidR="001F35C6" w:rsidRPr="00FB4958" w:rsidRDefault="001F35C6" w:rsidP="003F7EDF">
      <w:pPr>
        <w:numPr>
          <w:ilvl w:val="1"/>
          <w:numId w:val="2"/>
        </w:numPr>
        <w:suppressAutoHyphens w:val="0"/>
        <w:spacing w:before="120" w:after="120"/>
        <w:jc w:val="both"/>
        <w:rPr>
          <w:rFonts w:ascii="Cambria" w:hAnsi="Cambria" w:cs="Calibri Light"/>
          <w:sz w:val="22"/>
          <w:szCs w:val="22"/>
        </w:rPr>
      </w:pPr>
      <w:r w:rsidRPr="00FB4958">
        <w:rPr>
          <w:rFonts w:ascii="Cambria" w:hAnsi="Cambria" w:cs="Calibri Light"/>
          <w:sz w:val="22"/>
          <w:szCs w:val="22"/>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7C76EC6" w14:textId="77777777" w:rsidR="001F35C6" w:rsidRPr="00FB4958" w:rsidRDefault="001F35C6" w:rsidP="003F7EDF">
      <w:pPr>
        <w:pStyle w:val="Nivel01"/>
        <w:rPr>
          <w:rFonts w:ascii="Cambria" w:hAnsi="Cambria"/>
          <w:i/>
          <w:iCs/>
          <w:sz w:val="22"/>
          <w:szCs w:val="22"/>
        </w:rPr>
      </w:pPr>
      <w:r w:rsidRPr="00FB4958">
        <w:rPr>
          <w:rFonts w:ascii="Cambria" w:hAnsi="Cambria"/>
          <w:smallCaps/>
          <w:sz w:val="22"/>
          <w:szCs w:val="22"/>
        </w:rPr>
        <w:t>CLÁUSULA QUINTA</w:t>
      </w:r>
      <w:r w:rsidRPr="00FB4958">
        <w:rPr>
          <w:rFonts w:ascii="Cambria" w:hAnsi="Cambria"/>
          <w:sz w:val="22"/>
          <w:szCs w:val="22"/>
        </w:rPr>
        <w:t xml:space="preserve"> </w:t>
      </w:r>
      <w:r w:rsidRPr="00FB4958">
        <w:rPr>
          <w:rFonts w:ascii="Cambria" w:hAnsi="Cambria"/>
          <w:smallCaps/>
          <w:sz w:val="22"/>
          <w:szCs w:val="22"/>
        </w:rPr>
        <w:t>–</w:t>
      </w:r>
      <w:r w:rsidRPr="00FB4958">
        <w:rPr>
          <w:rFonts w:ascii="Cambria" w:hAnsi="Cambria"/>
          <w:sz w:val="22"/>
          <w:szCs w:val="22"/>
        </w:rPr>
        <w:t xml:space="preserve"> REAJUSTE E ALTERAÇÕES</w:t>
      </w:r>
    </w:p>
    <w:p w14:paraId="78F1820F" w14:textId="4800573D"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 xml:space="preserve">Os preços inicialmente contratados são fixos e irreajustáveis no prazo de um ano contado da data do orçamento estimado, </w:t>
      </w:r>
      <w:r w:rsidR="000D5BCC" w:rsidRPr="00FB4958">
        <w:rPr>
          <w:rFonts w:ascii="Cambria" w:hAnsi="Cambria"/>
          <w:sz w:val="22"/>
          <w:szCs w:val="22"/>
        </w:rPr>
        <w:t xml:space="preserve">em </w:t>
      </w:r>
      <w:r w:rsidR="000D5BCC" w:rsidRPr="00FB4958">
        <w:rPr>
          <w:rFonts w:ascii="Cambria" w:hAnsi="Cambria"/>
          <w:i/>
          <w:iCs/>
          <w:sz w:val="22"/>
          <w:szCs w:val="22"/>
        </w:rPr>
        <w:t>(</w:t>
      </w:r>
      <w:r w:rsidR="000D5BCC">
        <w:rPr>
          <w:rFonts w:ascii="Cambria" w:hAnsi="Cambria"/>
          <w:b/>
          <w:bCs/>
          <w:i/>
          <w:iCs/>
          <w:sz w:val="22"/>
          <w:szCs w:val="22"/>
        </w:rPr>
        <w:t>02</w:t>
      </w:r>
      <w:r w:rsidRPr="00FB4958">
        <w:rPr>
          <w:rFonts w:ascii="Cambria" w:hAnsi="Cambria"/>
          <w:b/>
          <w:bCs/>
          <w:i/>
          <w:iCs/>
          <w:sz w:val="22"/>
          <w:szCs w:val="22"/>
        </w:rPr>
        <w:t>/</w:t>
      </w:r>
      <w:r w:rsidR="000D5BCC">
        <w:rPr>
          <w:rFonts w:ascii="Cambria" w:hAnsi="Cambria"/>
          <w:b/>
          <w:bCs/>
          <w:i/>
          <w:iCs/>
          <w:sz w:val="22"/>
          <w:szCs w:val="22"/>
        </w:rPr>
        <w:t>01</w:t>
      </w:r>
      <w:r w:rsidRPr="00FB4958">
        <w:rPr>
          <w:rFonts w:ascii="Cambria" w:hAnsi="Cambria"/>
          <w:b/>
          <w:bCs/>
          <w:i/>
          <w:iCs/>
          <w:sz w:val="22"/>
          <w:szCs w:val="22"/>
        </w:rPr>
        <w:t>/</w:t>
      </w:r>
      <w:r w:rsidR="000D5BCC">
        <w:rPr>
          <w:rFonts w:ascii="Cambria" w:hAnsi="Cambria"/>
          <w:b/>
          <w:bCs/>
          <w:i/>
          <w:iCs/>
          <w:sz w:val="22"/>
          <w:szCs w:val="22"/>
        </w:rPr>
        <w:t>2025</w:t>
      </w:r>
      <w:r w:rsidRPr="00FB4958">
        <w:rPr>
          <w:rFonts w:ascii="Cambria" w:hAnsi="Cambria"/>
          <w:b/>
          <w:bCs/>
          <w:i/>
          <w:iCs/>
          <w:sz w:val="22"/>
          <w:szCs w:val="22"/>
        </w:rPr>
        <w:t>)</w:t>
      </w:r>
      <w:r w:rsidRPr="00FB4958">
        <w:rPr>
          <w:rFonts w:ascii="Cambria" w:hAnsi="Cambria"/>
          <w:b/>
          <w:bCs/>
          <w:sz w:val="22"/>
          <w:szCs w:val="22"/>
        </w:rPr>
        <w:t>.</w:t>
      </w:r>
    </w:p>
    <w:p w14:paraId="64177B5F"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lastRenderedPageBreak/>
        <w:t>Após o interregno de um ano, e independentemente de pedido do contratado, os preços iniciais serão reajustados, mediante a aplicação, pelo contratante, do índice INPC (Índice Nacional de Preços ao Consumidor)</w:t>
      </w:r>
      <w:r w:rsidRPr="00FB4958">
        <w:rPr>
          <w:rFonts w:ascii="Cambria" w:hAnsi="Cambria"/>
          <w:i/>
          <w:iCs/>
          <w:sz w:val="22"/>
          <w:szCs w:val="22"/>
        </w:rPr>
        <w:t>,</w:t>
      </w:r>
      <w:r w:rsidRPr="00FB4958">
        <w:rPr>
          <w:rFonts w:ascii="Cambria" w:hAnsi="Cambria"/>
          <w:sz w:val="22"/>
          <w:szCs w:val="22"/>
        </w:rPr>
        <w:t xml:space="preserve"> exclusivamente para as obrigações iniciadas e concluídas após a ocorrência da anualidade.</w:t>
      </w:r>
    </w:p>
    <w:p w14:paraId="73E4EA83"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Nos reajustes subsequentes ao primeiro, o interregno mínimo de um ano será contado a partir dos efeitos financeiros do último reajuste.</w:t>
      </w:r>
    </w:p>
    <w:p w14:paraId="30059F39"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 xml:space="preserve">No caso de atraso ou não divulgação </w:t>
      </w:r>
      <w:proofErr w:type="gramStart"/>
      <w:r w:rsidRPr="00FB4958">
        <w:rPr>
          <w:rFonts w:ascii="Cambria" w:hAnsi="Cambria"/>
          <w:sz w:val="22"/>
          <w:szCs w:val="22"/>
        </w:rPr>
        <w:t>do(</w:t>
      </w:r>
      <w:proofErr w:type="gramEnd"/>
      <w:r w:rsidRPr="00FB4958">
        <w:rPr>
          <w:rFonts w:ascii="Cambria" w:hAnsi="Cambria"/>
          <w:sz w:val="22"/>
          <w:szCs w:val="22"/>
        </w:rPr>
        <w:t xml:space="preserve">s) índice (s) de reajustamento, o contratante pagará ao contratado a importância calculada pela última variação conhecida, liquidando a diferença correspondente tão logo seja(m) divulgado(s) o(s) índice(s) definitivo(s). </w:t>
      </w:r>
    </w:p>
    <w:p w14:paraId="62BA1C74"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 xml:space="preserve">Nas aferições finais, </w:t>
      </w:r>
      <w:proofErr w:type="gramStart"/>
      <w:r w:rsidRPr="00FB4958">
        <w:rPr>
          <w:rFonts w:ascii="Cambria" w:hAnsi="Cambria"/>
          <w:sz w:val="22"/>
          <w:szCs w:val="22"/>
        </w:rPr>
        <w:t>o(</w:t>
      </w:r>
      <w:proofErr w:type="gramEnd"/>
      <w:r w:rsidRPr="00FB4958">
        <w:rPr>
          <w:rFonts w:ascii="Cambria" w:hAnsi="Cambria"/>
          <w:sz w:val="22"/>
          <w:szCs w:val="22"/>
        </w:rPr>
        <w:t>s) índice(s) utilizado(s) para reajuste será(</w:t>
      </w:r>
      <w:proofErr w:type="spellStart"/>
      <w:r w:rsidRPr="00FB4958">
        <w:rPr>
          <w:rFonts w:ascii="Cambria" w:hAnsi="Cambria"/>
          <w:sz w:val="22"/>
          <w:szCs w:val="22"/>
        </w:rPr>
        <w:t>ão</w:t>
      </w:r>
      <w:proofErr w:type="spellEnd"/>
      <w:r w:rsidRPr="00FB4958">
        <w:rPr>
          <w:rFonts w:ascii="Cambria" w:hAnsi="Cambria"/>
          <w:sz w:val="22"/>
          <w:szCs w:val="22"/>
        </w:rPr>
        <w:t>), obrigatoriamente, o(s) definitivo(s).</w:t>
      </w:r>
    </w:p>
    <w:p w14:paraId="18E28AAD"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 xml:space="preserve">Caso </w:t>
      </w:r>
      <w:proofErr w:type="gramStart"/>
      <w:r w:rsidRPr="00FB4958">
        <w:rPr>
          <w:rFonts w:ascii="Cambria" w:hAnsi="Cambria"/>
          <w:sz w:val="22"/>
          <w:szCs w:val="22"/>
        </w:rPr>
        <w:t>o(</w:t>
      </w:r>
      <w:proofErr w:type="gramEnd"/>
      <w:r w:rsidRPr="00FB4958">
        <w:rPr>
          <w:rFonts w:ascii="Cambria" w:hAnsi="Cambria"/>
          <w:sz w:val="22"/>
          <w:szCs w:val="22"/>
        </w:rPr>
        <w:t>s) índice(s) estabelecido(s) para reajustamento venha(m) a ser extinto(s) ou de qualquer forma não possa(m) mais ser utilizado(s), será(</w:t>
      </w:r>
      <w:proofErr w:type="spellStart"/>
      <w:r w:rsidRPr="00FB4958">
        <w:rPr>
          <w:rFonts w:ascii="Cambria" w:hAnsi="Cambria"/>
          <w:sz w:val="22"/>
          <w:szCs w:val="22"/>
        </w:rPr>
        <w:t>ão</w:t>
      </w:r>
      <w:proofErr w:type="spellEnd"/>
      <w:r w:rsidRPr="00FB4958">
        <w:rPr>
          <w:rFonts w:ascii="Cambria" w:hAnsi="Cambria"/>
          <w:sz w:val="22"/>
          <w:szCs w:val="22"/>
        </w:rPr>
        <w:t>) adotado(s), em substituição, o(s) que vier(em) a ser determinado(s) pela legislação então em vigor.</w:t>
      </w:r>
    </w:p>
    <w:p w14:paraId="45EEBDFA"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 xml:space="preserve">Na ausência de previsão legal quanto ao índice substituto, as partes elegerão novo índice oficial, para reajustamento do preço do valor remanescente, por meio de termo aditivo. </w:t>
      </w:r>
    </w:p>
    <w:p w14:paraId="72FB0353" w14:textId="77777777" w:rsidR="001F35C6" w:rsidRPr="00FB4958" w:rsidRDefault="001F35C6" w:rsidP="003F7EDF">
      <w:pPr>
        <w:numPr>
          <w:ilvl w:val="1"/>
          <w:numId w:val="2"/>
        </w:numPr>
        <w:rPr>
          <w:rFonts w:ascii="Cambria" w:hAnsi="Cambria"/>
          <w:sz w:val="22"/>
          <w:szCs w:val="22"/>
        </w:rPr>
      </w:pPr>
      <w:r w:rsidRPr="00FB4958">
        <w:rPr>
          <w:rFonts w:ascii="Cambria" w:hAnsi="Cambria"/>
          <w:sz w:val="22"/>
          <w:szCs w:val="22"/>
        </w:rPr>
        <w:t>O reajuste será realizado por apostilamento.</w:t>
      </w:r>
    </w:p>
    <w:p w14:paraId="22BB6963" w14:textId="77777777" w:rsidR="001F35C6" w:rsidRPr="00FB4958" w:rsidRDefault="001F35C6" w:rsidP="003F7EDF">
      <w:pPr>
        <w:numPr>
          <w:ilvl w:val="1"/>
          <w:numId w:val="2"/>
        </w:numPr>
        <w:rPr>
          <w:rFonts w:ascii="Cambria" w:hAnsi="Cambria"/>
          <w:sz w:val="22"/>
          <w:szCs w:val="22"/>
        </w:rPr>
      </w:pPr>
      <w:r w:rsidRPr="00FB4958">
        <w:rPr>
          <w:rFonts w:ascii="Cambria" w:hAnsi="Cambria" w:cs="Calibri Light"/>
          <w:sz w:val="22"/>
          <w:szCs w:val="22"/>
        </w:rPr>
        <w:t>A CONTRATADA é obrigada a aceitar, nas mesmas condições contratuais, os acréscimos ou supressões que se fizerem necessários, até o limite de 25% (vinte e cinco por cento) do valor inicial atualizado do contrato.</w:t>
      </w:r>
    </w:p>
    <w:p w14:paraId="0AC6B38A" w14:textId="77777777" w:rsidR="001F35C6" w:rsidRPr="00FB4958" w:rsidRDefault="001F35C6" w:rsidP="003F7EDF">
      <w:pPr>
        <w:numPr>
          <w:ilvl w:val="1"/>
          <w:numId w:val="2"/>
        </w:numPr>
        <w:rPr>
          <w:rFonts w:ascii="Cambria" w:hAnsi="Cambria"/>
          <w:sz w:val="22"/>
          <w:szCs w:val="22"/>
        </w:rPr>
      </w:pPr>
      <w:r w:rsidRPr="00FB4958">
        <w:rPr>
          <w:rFonts w:ascii="Cambria" w:hAnsi="Cambria" w:cs="Calibri Light"/>
          <w:sz w:val="22"/>
          <w:szCs w:val="22"/>
        </w:rPr>
        <w:t>As supressões resultantes de acordo celebrado entre as partes contratantes poderão exceder o limite de 25% (vinte e cinco por cento) do valor inicial atualizado do contrato.</w:t>
      </w:r>
    </w:p>
    <w:p w14:paraId="03E26DEF"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SEXTA - ENTREGA E RECEBIMENTO DO OBJETO</w:t>
      </w:r>
    </w:p>
    <w:p w14:paraId="20A0112A"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Os produtos deverão ser de primeira qualidade, atendendo ao disposto na legislação de alimentos com característica de cada produto (organolépticas, físico-químicas, microbiológicas, microscópicas, toxicológicas), estabelecida pela Agencia Nacional de Vigilância Sanitária – ANVISA, Ministério da Agricultura/Pecuária e Abastecimento e pelas Autoridades Sanitárias Locais para cada gênero descrito conforme tabela de especificação e quantidades e registro no órgão fiscalizador quando couber (SIM, SIE, SIF)</w:t>
      </w:r>
      <w:r w:rsidRPr="00FB4958">
        <w:rPr>
          <w:rFonts w:ascii="Cambria" w:hAnsi="Cambria" w:cs="Calibri Light"/>
          <w:sz w:val="22"/>
          <w:szCs w:val="22"/>
        </w:rPr>
        <w:t>.</w:t>
      </w:r>
    </w:p>
    <w:p w14:paraId="37BF3999"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Os produtos serão entregues conforme cronograma fornecido pela contratante, a qual o formulará periodicamente, tendo a proponente o prazo máximo de 48 (quarenta e oito) horas a contar do recebimento da solicitação, para entregar o produto solicitado em cada um dos órgãos requisitantes.</w:t>
      </w:r>
    </w:p>
    <w:p w14:paraId="3E11650B"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Devem-se observar os horários de entrega, conforme descritos a seguir: 08h às 12h, de segunda a sextas-feiras.</w:t>
      </w:r>
    </w:p>
    <w:p w14:paraId="3C5E3542"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A contratada deverá, obrigatoriamente, consultar o departamento responsável, através dos telefones indicado nas solicitações de compra, para fazer o agendamento da entrega.</w:t>
      </w:r>
    </w:p>
    <w:p w14:paraId="052DEBCA"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Correrão por conta da contratada quaisquer providências relativas à descarga do material, incluindo-se aí a necessária mão de obra.</w:t>
      </w:r>
    </w:p>
    <w:p w14:paraId="4DBB4A72"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CLAÚSULA SETIMA - FISCALIZAÇÃO</w:t>
      </w:r>
    </w:p>
    <w:p w14:paraId="2523DBBF"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A fiscalização desta contratação será exercida por um representante nomeado pela Administração, ao qual competirá dirimir as dúvidas que surgirem no curso da execução do contrato, e de tudo dará ciência à Administração</w:t>
      </w:r>
      <w:r w:rsidRPr="00FB4958">
        <w:rPr>
          <w:rFonts w:ascii="Cambria" w:hAnsi="Cambria" w:cs="Calibri Light"/>
          <w:sz w:val="22"/>
          <w:szCs w:val="22"/>
        </w:rPr>
        <w:t>.</w:t>
      </w:r>
    </w:p>
    <w:p w14:paraId="6BB1EA2D"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 xml:space="preserve">A fiscalização de que trata este item não exclui nem reduz a responsabilidade do contratado, inclusive perante terceiros, por qualquer irregularidade, ainda que resultante de imperfeições técnicas, vícios redibitórios, ou emprego de material inadequado ou de qualidade inferior, e, na ocorrência desta, não implica em corresponsabilidade da </w:t>
      </w:r>
      <w:r w:rsidRPr="00FB4958">
        <w:rPr>
          <w:rFonts w:ascii="Cambria" w:hAnsi="Cambria" w:cs="Arial"/>
          <w:sz w:val="22"/>
          <w:szCs w:val="22"/>
        </w:rPr>
        <w:lastRenderedPageBreak/>
        <w:t>Administração ou de seus agentes e prepostos, de conformidade com o art. 120 da Lei nº 14.133, de 2021.</w:t>
      </w:r>
    </w:p>
    <w:p w14:paraId="2371BE9B"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O fiscal do contrato anotará em registro próprio todas as ocorrências relacionadas com a execução do contrato, indicando dia, mês e ano, bem como o nome dos funcionários eventualmente envolvidos, determinando o que for necessário à regularização das faltas ou defeitos observados e encaminhando os apontamentos à autoridade competente para as providências cabíveis.</w:t>
      </w:r>
    </w:p>
    <w:p w14:paraId="5DA9F655"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Arial"/>
          <w:sz w:val="22"/>
          <w:szCs w:val="22"/>
        </w:rPr>
        <w:t>As decisões e providências que ultrapassarem a competência do servidor designado para o acompanhamento e a fiscalização do contrato deverão ser solicitadas ao gestor do órgão, em tempo hábil para a adoção das medidas convenientes.</w:t>
      </w:r>
    </w:p>
    <w:p w14:paraId="5C5BF34B"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OITAVA – OBRIGAÇÕES DA CONTRATANTE E DA CONTRATADA</w:t>
      </w:r>
    </w:p>
    <w:p w14:paraId="4E916AF9" w14:textId="77777777" w:rsidR="001F35C6" w:rsidRPr="00FB4958" w:rsidRDefault="001F35C6" w:rsidP="003F7EDF">
      <w:pPr>
        <w:suppressAutoHyphens w:val="0"/>
        <w:spacing w:before="120" w:after="120"/>
        <w:ind w:firstLine="426"/>
        <w:jc w:val="both"/>
        <w:rPr>
          <w:rFonts w:ascii="Cambria" w:hAnsi="Cambria" w:cs="Calibri Light"/>
          <w:b/>
          <w:sz w:val="22"/>
          <w:szCs w:val="22"/>
        </w:rPr>
      </w:pPr>
      <w:r w:rsidRPr="00FB4958">
        <w:rPr>
          <w:rFonts w:ascii="Cambria" w:hAnsi="Cambria" w:cs="Calibri Light"/>
          <w:b/>
          <w:sz w:val="22"/>
          <w:szCs w:val="22"/>
        </w:rPr>
        <w:t>Obrigações da CONTRATANTE:</w:t>
      </w:r>
    </w:p>
    <w:p w14:paraId="3BC1AD6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São obrigações do Contratante:</w:t>
      </w:r>
    </w:p>
    <w:p w14:paraId="1026CF58"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Exigir o cumprimento de todas as obrigações assumidas pelo Contratado, de acordo com o contrato e seus anexos;</w:t>
      </w:r>
    </w:p>
    <w:p w14:paraId="3BED24E8"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Receber o objeto no prazo e condições estabelecidas no Termo de Referência;</w:t>
      </w:r>
    </w:p>
    <w:p w14:paraId="13ADAC21"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Notificar o Contratado, por escrito, sobre vícios, defeitos ou incorreções verificadas no objeto fornecido, para que seja por ele substituído, reparado ou corrigido, no total ou em parte, às suas expensas;</w:t>
      </w:r>
    </w:p>
    <w:p w14:paraId="08B12B49"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Acompanhar e fiscalizar a execução do contrato e o cumprimento das obrigações pelo Contratado;</w:t>
      </w:r>
    </w:p>
    <w:p w14:paraId="0FD632F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Comunicar a empresa para emissão de Nota Fiscal em relação à parcela incontroversa da execução do objeto, para efeito de liquidação e pagamento, quando houver controvérsia sobre a execução do objeto, quanto à dimensão, qualidade e quantidade, conforme o art. 143 da Lei nº 14.133, de 2021;</w:t>
      </w:r>
    </w:p>
    <w:p w14:paraId="276DDDF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Efetuar o pagamento ao Contratado do valor correspondente à execução do objeto, no prazo, forma e condições estabelecidos no presente Contrato e no Termo de Referência;</w:t>
      </w:r>
    </w:p>
    <w:p w14:paraId="3CE9E57D"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 xml:space="preserve">Aplicar ao Contratado as sanções previstas na lei e neste Contrato; </w:t>
      </w:r>
    </w:p>
    <w:p w14:paraId="7415B730"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Cientificar o órgão de representação judicial da Advocacia-Geral da União para adoção das medidas cabíveis quando do descumprimento de obrigações pelo Contratado;</w:t>
      </w:r>
    </w:p>
    <w:p w14:paraId="002190E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2C1512D"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 xml:space="preserve"> A Administração terá o prazo de 5 (cinco) dias a contar da data do protocolo do requerimento para decidir, admitida a prorrogação motivada, por igual período. </w:t>
      </w:r>
    </w:p>
    <w:p w14:paraId="6D5401F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Responder eventuais pedidos de reestabelecimento do equilíbrio econômico-financeiro feitos pelo contratado no prazo máximo de 30 (trinta) dias com efeito retroativo a data do pedido.</w:t>
      </w:r>
    </w:p>
    <w:p w14:paraId="4ADC480E"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Notificar os emitentes das garantias quanto ao início de processo administrativo para apuração de descumprimento de cláusulas contratuais.</w:t>
      </w:r>
    </w:p>
    <w:p w14:paraId="7FC52D81"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t>Comunicar o Contratado na hipótese de posterior alteração do projeto pelo Contratante, no caso do art. 93, §2º, da Lei nº 14.133, de 2021.</w:t>
      </w:r>
    </w:p>
    <w:p w14:paraId="4A6FA7B2"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hAnsi="Cambria" w:cs="Arial"/>
          <w:sz w:val="22"/>
          <w:szCs w:val="22"/>
        </w:rPr>
      </w:pPr>
      <w:r w:rsidRPr="00FB4958">
        <w:rPr>
          <w:rFonts w:ascii="Cambria" w:hAnsi="Cambria" w:cs="Arial"/>
          <w:sz w:val="22"/>
          <w:szCs w:val="22"/>
        </w:rPr>
        <w:lastRenderedPageBreak/>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38813EFE" w14:textId="77777777" w:rsidR="001F35C6" w:rsidRPr="00FB4958" w:rsidRDefault="001F35C6" w:rsidP="003F7EDF">
      <w:pPr>
        <w:pStyle w:val="Corpodetexto21"/>
        <w:tabs>
          <w:tab w:val="left" w:pos="426"/>
        </w:tabs>
        <w:spacing w:before="120" w:after="120"/>
        <w:ind w:firstLine="0"/>
        <w:rPr>
          <w:rFonts w:ascii="Cambria" w:hAnsi="Cambria"/>
          <w:sz w:val="22"/>
          <w:szCs w:val="22"/>
        </w:rPr>
      </w:pPr>
      <w:r w:rsidRPr="00FB4958">
        <w:rPr>
          <w:rFonts w:ascii="Cambria" w:hAnsi="Cambria"/>
          <w:sz w:val="22"/>
          <w:szCs w:val="22"/>
        </w:rPr>
        <w:tab/>
        <w:t>Obrigações da CONTRATADA:</w:t>
      </w:r>
    </w:p>
    <w:p w14:paraId="515A5C41"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12921C7B"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Manter preposto aceito pela Administração no local do serviço para representá-lo na execução do contrato.</w:t>
      </w:r>
    </w:p>
    <w:p w14:paraId="0A5B5F9F"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A indicação ou a manutenção do preposto da empresa poderá ser recusada pelo órgão ou entidade, desde que devidamente justificada, devendo a empresa designar outro para o exercício da atividade.</w:t>
      </w:r>
    </w:p>
    <w:p w14:paraId="6E700E6E"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Atender às determinações regulares emitidas pelo fiscal do contrato ou autoridade superior (art. 137, II) e prestar todo esclarecimento ou informação por eles solicitados;</w:t>
      </w:r>
    </w:p>
    <w:p w14:paraId="5BE6909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Alocar os empregados necessários ao perfeito cumprimento das cláusulas deste contrato, com habilitação e conhecimento adequados, fornecendo os materiais, equipamentos, ferramentas e utensílios demandados, cuja quantidade, qualidade e tecnologia deverão atender às recomendações de boa técnica e a legislação de regência;</w:t>
      </w:r>
    </w:p>
    <w:p w14:paraId="3745C9C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0B5B61E4"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4BC725F1"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32077EA5"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p>
    <w:p w14:paraId="64924F9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5C0430EA"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Comunicar ao Fiscal do contrato, no prazo de 24 (vinte e quatro) horas, qualquer ocorrência anormal ou acidente que se verifique no local dos serviços.</w:t>
      </w:r>
    </w:p>
    <w:p w14:paraId="27D571C7"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lastRenderedPageBreak/>
        <w:t>Prestar todo esclarecimento ou informação solicitada pelo Contratante ou por seus prepostos, garantindo-lhes o acesso, a qualquer tempo, ao local dos trabalhos, bem como aos documentos relativos à execução do empreendimento.</w:t>
      </w:r>
    </w:p>
    <w:p w14:paraId="427AA0EE"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Paralisar, por determinação do Contratante, qualquer atividade que não esteja sendo executada de acordo com a boa técnica ou que ponha em risco a segurança de pessoas ou bens de terceiros.</w:t>
      </w:r>
    </w:p>
    <w:p w14:paraId="757CA8CB"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Promover a guarda, manutenção e vigilância de materiais, ferramentas, e tudo o que for necessário à execução do objeto, durante a vigência do contrato.</w:t>
      </w:r>
    </w:p>
    <w:p w14:paraId="4A6467E2"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Conduzir os trabalhos com estrita observância às normas da legislação pertinente, cumprindo as determinações dos Poderes Públicos, mantendo sempre limpo o local dos serviços e nas melhores condições de segurança, higiene e disciplina.</w:t>
      </w:r>
    </w:p>
    <w:p w14:paraId="08F237ED"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Submeter previamente, por escrito, ao Contratante, para análise e aprovação, quaisquer mudanças nos métodos executivos que fujam às especificações do memorial descritivo ou instrumento congênere.</w:t>
      </w:r>
    </w:p>
    <w:p w14:paraId="4F582503"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0390BA7C"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 xml:space="preserve"> Manter durante toda a vigência do contrato, em compatibilidade com as obrigações assumidas, todas as condições exigidas para habilitação na licitação; </w:t>
      </w:r>
    </w:p>
    <w:p w14:paraId="624EEB14"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Cumprir, durante todo o período de execução do contrato, a reserva de cargos prevista em lei para pessoa com deficiência, para reabilitado da Previdência Social ou para aprendiz, bem como as reservas de cargos previstas na legislação (art. 116);</w:t>
      </w:r>
    </w:p>
    <w:p w14:paraId="089D5BC6"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Comprovar a reserva de cargos a que se refere a cláusula acima, no prazo fixado pelo fiscal do contrato, com a indicação dos empregados que preencheram as referidas vagas (art. 116, parágrafo único);</w:t>
      </w:r>
    </w:p>
    <w:p w14:paraId="17D677ED"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Guardar sigilo sobre todas as informações obtidas em decorrência do cumprimento do contrato;</w:t>
      </w:r>
    </w:p>
    <w:p w14:paraId="19C36D08" w14:textId="77777777" w:rsidR="001F35C6" w:rsidRPr="00FB4958" w:rsidRDefault="001F35C6" w:rsidP="003F7EDF">
      <w:pPr>
        <w:numPr>
          <w:ilvl w:val="1"/>
          <w:numId w:val="2"/>
        </w:numPr>
        <w:suppressAutoHyphens w:val="0"/>
        <w:autoSpaceDE w:val="0"/>
        <w:autoSpaceDN w:val="0"/>
        <w:adjustRightInd w:val="0"/>
        <w:spacing w:before="120" w:after="120"/>
        <w:jc w:val="both"/>
        <w:rPr>
          <w:rFonts w:ascii="Cambria" w:eastAsia="ArialMT" w:hAnsi="Cambria" w:cs="Arial"/>
          <w:sz w:val="22"/>
          <w:szCs w:val="22"/>
        </w:rPr>
      </w:pPr>
      <w:r w:rsidRPr="00FB4958">
        <w:rPr>
          <w:rFonts w:ascii="Cambria" w:eastAsia="ArialMT" w:hAnsi="Cambria" w:cs="Arial"/>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793A8CA4"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NOVE – SANÇÕES ADMINISTRATIVAS</w:t>
      </w:r>
    </w:p>
    <w:p w14:paraId="56326D62"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Comete infração administrativa, nos termos da </w:t>
      </w:r>
      <w:hyperlink r:id="rId7" w:history="1">
        <w:r w:rsidRPr="00FB4958">
          <w:rPr>
            <w:rFonts w:ascii="Cambria" w:hAnsi="Cambria"/>
            <w:sz w:val="22"/>
            <w:szCs w:val="22"/>
          </w:rPr>
          <w:t>Lei nº 14.133, de 2021</w:t>
        </w:r>
      </w:hyperlink>
      <w:r w:rsidRPr="00FB4958">
        <w:rPr>
          <w:rFonts w:ascii="Cambria" w:hAnsi="Cambria"/>
          <w:sz w:val="22"/>
          <w:szCs w:val="22"/>
        </w:rPr>
        <w:t>, o contratado que:</w:t>
      </w:r>
    </w:p>
    <w:p w14:paraId="679B218A"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proofErr w:type="gramStart"/>
      <w:r w:rsidRPr="00FB4958">
        <w:rPr>
          <w:rFonts w:ascii="Cambria" w:eastAsia="Arial" w:hAnsi="Cambria" w:cs="Arial"/>
          <w:sz w:val="22"/>
          <w:szCs w:val="22"/>
        </w:rPr>
        <w:t>der</w:t>
      </w:r>
      <w:proofErr w:type="gramEnd"/>
      <w:r w:rsidRPr="00FB4958">
        <w:rPr>
          <w:rFonts w:ascii="Cambria" w:eastAsia="Arial" w:hAnsi="Cambria" w:cs="Arial"/>
          <w:sz w:val="22"/>
          <w:szCs w:val="22"/>
        </w:rPr>
        <w:t xml:space="preserve"> causa à inexecução parcial do contrato;</w:t>
      </w:r>
    </w:p>
    <w:p w14:paraId="45629C46"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proofErr w:type="gramStart"/>
      <w:r w:rsidRPr="00FB4958">
        <w:rPr>
          <w:rFonts w:ascii="Cambria" w:eastAsia="Arial" w:hAnsi="Cambria" w:cs="Arial"/>
          <w:sz w:val="22"/>
          <w:szCs w:val="22"/>
        </w:rPr>
        <w:t>der</w:t>
      </w:r>
      <w:proofErr w:type="gramEnd"/>
      <w:r w:rsidRPr="00FB4958">
        <w:rPr>
          <w:rFonts w:ascii="Cambria" w:eastAsia="Arial" w:hAnsi="Cambria" w:cs="Arial"/>
          <w:sz w:val="22"/>
          <w:szCs w:val="22"/>
        </w:rPr>
        <w:t xml:space="preserve"> causa à inexecução parcial do contrato que cause grave dano à Administração ou ao funcionamento dos serviços públicos ou ao interesse coletivo;</w:t>
      </w:r>
    </w:p>
    <w:p w14:paraId="73120DE8"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proofErr w:type="gramStart"/>
      <w:r w:rsidRPr="00FB4958">
        <w:rPr>
          <w:rFonts w:ascii="Cambria" w:eastAsia="Arial" w:hAnsi="Cambria" w:cs="Arial"/>
          <w:sz w:val="22"/>
          <w:szCs w:val="22"/>
        </w:rPr>
        <w:t>der</w:t>
      </w:r>
      <w:proofErr w:type="gramEnd"/>
      <w:r w:rsidRPr="00FB4958">
        <w:rPr>
          <w:rFonts w:ascii="Cambria" w:eastAsia="Arial" w:hAnsi="Cambria" w:cs="Arial"/>
          <w:sz w:val="22"/>
          <w:szCs w:val="22"/>
        </w:rPr>
        <w:t xml:space="preserve"> causa à inexecução total do contrato;</w:t>
      </w:r>
    </w:p>
    <w:p w14:paraId="16AC6D60"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proofErr w:type="gramStart"/>
      <w:r w:rsidRPr="00FB4958">
        <w:rPr>
          <w:rFonts w:ascii="Cambria" w:eastAsia="Arial" w:hAnsi="Cambria" w:cs="Arial"/>
          <w:sz w:val="22"/>
          <w:szCs w:val="22"/>
        </w:rPr>
        <w:t>ensejar</w:t>
      </w:r>
      <w:proofErr w:type="gramEnd"/>
      <w:r w:rsidRPr="00FB4958">
        <w:rPr>
          <w:rFonts w:ascii="Cambria" w:eastAsia="Arial" w:hAnsi="Cambria" w:cs="Arial"/>
          <w:sz w:val="22"/>
          <w:szCs w:val="22"/>
        </w:rPr>
        <w:t xml:space="preserve"> o retardamento da execução ou da entrega do objeto da contratação sem motivo justificado;</w:t>
      </w:r>
    </w:p>
    <w:p w14:paraId="6FECCB85"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proofErr w:type="gramStart"/>
      <w:r w:rsidRPr="00FB4958">
        <w:rPr>
          <w:rFonts w:ascii="Cambria" w:eastAsia="Arial" w:hAnsi="Cambria" w:cs="Arial"/>
          <w:sz w:val="22"/>
          <w:szCs w:val="22"/>
        </w:rPr>
        <w:t>apresentar</w:t>
      </w:r>
      <w:proofErr w:type="gramEnd"/>
      <w:r w:rsidRPr="00FB4958">
        <w:rPr>
          <w:rFonts w:ascii="Cambria" w:eastAsia="Arial" w:hAnsi="Cambria" w:cs="Arial"/>
          <w:sz w:val="22"/>
          <w:szCs w:val="22"/>
        </w:rPr>
        <w:t xml:space="preserve"> documentação falsa ou prestar declaração falsa durante a execução do contrato;</w:t>
      </w:r>
    </w:p>
    <w:p w14:paraId="6A48B0BD"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proofErr w:type="gramStart"/>
      <w:r w:rsidRPr="00FB4958">
        <w:rPr>
          <w:rFonts w:ascii="Cambria" w:eastAsia="Arial" w:hAnsi="Cambria" w:cs="Arial"/>
          <w:sz w:val="22"/>
          <w:szCs w:val="22"/>
        </w:rPr>
        <w:t>praticar</w:t>
      </w:r>
      <w:proofErr w:type="gramEnd"/>
      <w:r w:rsidRPr="00FB4958">
        <w:rPr>
          <w:rFonts w:ascii="Cambria" w:eastAsia="Arial" w:hAnsi="Cambria" w:cs="Arial"/>
          <w:sz w:val="22"/>
          <w:szCs w:val="22"/>
        </w:rPr>
        <w:t xml:space="preserve"> ato fraudulento na execução do contrato;</w:t>
      </w:r>
    </w:p>
    <w:p w14:paraId="01B13395"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proofErr w:type="gramStart"/>
      <w:r w:rsidRPr="00FB4958">
        <w:rPr>
          <w:rFonts w:ascii="Cambria" w:eastAsia="Arial" w:hAnsi="Cambria" w:cs="Arial"/>
          <w:sz w:val="22"/>
          <w:szCs w:val="22"/>
        </w:rPr>
        <w:t>comportar</w:t>
      </w:r>
      <w:proofErr w:type="gramEnd"/>
      <w:r w:rsidRPr="00FB4958">
        <w:rPr>
          <w:rFonts w:ascii="Cambria" w:eastAsia="Arial" w:hAnsi="Cambria" w:cs="Arial"/>
          <w:sz w:val="22"/>
          <w:szCs w:val="22"/>
        </w:rPr>
        <w:t>-se de modo inidôneo ou cometer fraude de qualquer natureza;</w:t>
      </w:r>
    </w:p>
    <w:p w14:paraId="06148458" w14:textId="77777777" w:rsidR="001F35C6" w:rsidRPr="00FB4958" w:rsidRDefault="001F35C6" w:rsidP="003F7EDF">
      <w:pPr>
        <w:numPr>
          <w:ilvl w:val="2"/>
          <w:numId w:val="3"/>
        </w:numPr>
        <w:spacing w:before="120" w:after="120"/>
        <w:ind w:left="426" w:firstLine="0"/>
        <w:jc w:val="both"/>
        <w:rPr>
          <w:rFonts w:ascii="Cambria" w:eastAsia="Arial" w:hAnsi="Cambria" w:cs="Arial"/>
          <w:sz w:val="22"/>
          <w:szCs w:val="22"/>
        </w:rPr>
      </w:pPr>
      <w:proofErr w:type="gramStart"/>
      <w:r w:rsidRPr="00FB4958">
        <w:rPr>
          <w:rFonts w:ascii="Cambria" w:eastAsia="Arial" w:hAnsi="Cambria" w:cs="Arial"/>
          <w:sz w:val="22"/>
          <w:szCs w:val="22"/>
        </w:rPr>
        <w:lastRenderedPageBreak/>
        <w:t>praticar</w:t>
      </w:r>
      <w:proofErr w:type="gramEnd"/>
      <w:r w:rsidRPr="00FB4958">
        <w:rPr>
          <w:rFonts w:ascii="Cambria" w:eastAsia="Arial" w:hAnsi="Cambria" w:cs="Arial"/>
          <w:sz w:val="22"/>
          <w:szCs w:val="22"/>
        </w:rPr>
        <w:t xml:space="preserve"> ato lesivo previsto no art. 5º da Lei nº 12.846, de 1º de agosto de 2013.</w:t>
      </w:r>
    </w:p>
    <w:p w14:paraId="5C25D3B3"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Serão aplicadas ao contratado que incorrer nas infrações acima descritas as seguintes sanções:</w:t>
      </w:r>
    </w:p>
    <w:p w14:paraId="32375F8C" w14:textId="77777777" w:rsidR="001F35C6" w:rsidRPr="00FB4958" w:rsidRDefault="001F35C6" w:rsidP="003F7EDF">
      <w:pPr>
        <w:numPr>
          <w:ilvl w:val="2"/>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b/>
          <w:bCs/>
          <w:sz w:val="22"/>
          <w:szCs w:val="22"/>
        </w:rPr>
        <w:t>Advertência</w:t>
      </w:r>
      <w:r w:rsidRPr="00FB4958">
        <w:rPr>
          <w:rFonts w:ascii="Cambria" w:eastAsia="Arial" w:hAnsi="Cambria" w:cs="Arial"/>
          <w:sz w:val="22"/>
          <w:szCs w:val="22"/>
        </w:rPr>
        <w:t>, quando o contratado der causa à inexecução parcial do contrato, sempre que não se justificar a imposição de penalidade mais grave (</w:t>
      </w:r>
      <w:hyperlink r:id="rId8" w:anchor="art156§2" w:history="1">
        <w:r w:rsidRPr="00FB4958">
          <w:rPr>
            <w:rFonts w:ascii="Cambria" w:eastAsia="Arial" w:hAnsi="Cambria" w:cs="Arial"/>
            <w:sz w:val="22"/>
            <w:szCs w:val="22"/>
          </w:rPr>
          <w:t>art. 156, §2º, da Lei nº 14.133, de 2021</w:t>
        </w:r>
      </w:hyperlink>
      <w:r w:rsidRPr="00FB4958">
        <w:rPr>
          <w:rFonts w:ascii="Cambria" w:eastAsia="Arial" w:hAnsi="Cambria" w:cs="Arial"/>
          <w:sz w:val="22"/>
          <w:szCs w:val="22"/>
        </w:rPr>
        <w:t>);</w:t>
      </w:r>
    </w:p>
    <w:p w14:paraId="11594D23" w14:textId="77777777" w:rsidR="001F35C6" w:rsidRPr="00FB4958" w:rsidRDefault="001F35C6" w:rsidP="003F7EDF">
      <w:pPr>
        <w:numPr>
          <w:ilvl w:val="2"/>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b/>
          <w:bCs/>
          <w:sz w:val="22"/>
          <w:szCs w:val="22"/>
        </w:rPr>
        <w:t>Impedimento de licitar e contratar</w:t>
      </w:r>
      <w:r w:rsidRPr="00FB4958">
        <w:rPr>
          <w:rFonts w:ascii="Cambria" w:eastAsia="Arial" w:hAnsi="Cambria" w:cs="Arial"/>
          <w:sz w:val="22"/>
          <w:szCs w:val="22"/>
        </w:rPr>
        <w:t>, quando praticadas as condutas descritas nas alíneas “b”, “c” e “d” do subitem acima deste Contrato, sempre que não se justificar a imposição de penalidade mais grave (</w:t>
      </w:r>
      <w:hyperlink r:id="rId9" w:anchor="art156§4" w:history="1">
        <w:r w:rsidRPr="00FB4958">
          <w:rPr>
            <w:rFonts w:ascii="Cambria" w:eastAsia="Arial" w:hAnsi="Cambria" w:cs="Arial"/>
            <w:sz w:val="22"/>
            <w:szCs w:val="22"/>
          </w:rPr>
          <w:t>art. 156, § 4º, da Lei nº 14.133, de 2021</w:t>
        </w:r>
      </w:hyperlink>
      <w:r w:rsidRPr="00FB4958">
        <w:rPr>
          <w:rFonts w:ascii="Cambria" w:eastAsia="Arial" w:hAnsi="Cambria" w:cs="Arial"/>
          <w:sz w:val="22"/>
          <w:szCs w:val="22"/>
        </w:rPr>
        <w:t>);</w:t>
      </w:r>
    </w:p>
    <w:p w14:paraId="29F0F1F0" w14:textId="77777777" w:rsidR="001F35C6" w:rsidRPr="00FB4958" w:rsidRDefault="001F35C6" w:rsidP="003F7EDF">
      <w:pPr>
        <w:numPr>
          <w:ilvl w:val="2"/>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b/>
          <w:bCs/>
          <w:sz w:val="22"/>
          <w:szCs w:val="22"/>
        </w:rPr>
        <w:t>Declaração de inidoneidade para licitar e contratar</w:t>
      </w:r>
      <w:r w:rsidRPr="00FB4958">
        <w:rPr>
          <w:rFonts w:ascii="Cambria" w:eastAsia="Arial" w:hAnsi="Cambria" w:cs="Arial"/>
          <w:sz w:val="22"/>
          <w:szCs w:val="22"/>
        </w:rPr>
        <w:t>, quando praticadas as condutas descritas nas alíneas “e”, “f”, “g” e “h” do subitem acima deste Contrato, bem como nas alíneas “b”, “c” e “d”, que justifiquem a imposição de penalidade mais grave (</w:t>
      </w:r>
      <w:hyperlink r:id="rId10" w:anchor="art156§5" w:history="1">
        <w:r w:rsidRPr="00FB4958">
          <w:rPr>
            <w:rFonts w:ascii="Cambria" w:eastAsia="Arial" w:hAnsi="Cambria" w:cs="Arial"/>
            <w:sz w:val="22"/>
            <w:szCs w:val="22"/>
          </w:rPr>
          <w:t>art. 156, §5º, da Lei nº 14.133, de 2021</w:t>
        </w:r>
      </w:hyperlink>
      <w:r w:rsidRPr="00FB4958">
        <w:rPr>
          <w:rFonts w:ascii="Cambria" w:eastAsia="Arial" w:hAnsi="Cambria" w:cs="Arial"/>
          <w:sz w:val="22"/>
          <w:szCs w:val="22"/>
        </w:rPr>
        <w:t>).</w:t>
      </w:r>
    </w:p>
    <w:p w14:paraId="1B7E3CD6" w14:textId="77777777" w:rsidR="001F35C6" w:rsidRPr="00FB4958" w:rsidRDefault="001F35C6" w:rsidP="003F7EDF">
      <w:pPr>
        <w:numPr>
          <w:ilvl w:val="2"/>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b/>
          <w:bCs/>
          <w:sz w:val="22"/>
          <w:szCs w:val="22"/>
        </w:rPr>
        <w:t>Multa:</w:t>
      </w:r>
    </w:p>
    <w:p w14:paraId="54F09D81"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Moratória de 0,05% a 15,00% por dia de atraso injustificado sobre o valor da parcela inadimplida, até o limite de 10 (dez) dias;</w:t>
      </w:r>
    </w:p>
    <w:p w14:paraId="2DD74DCF"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Compensatória, para as infrações descritas nas alíneas “e” a “h” do subitem 9.1, de 0,05% a 15,00% do valor do Contrato.</w:t>
      </w:r>
    </w:p>
    <w:p w14:paraId="37D0BFEA" w14:textId="68FAF2A0"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 xml:space="preserve">Compensatória, para a inexecução total do contrato prevista na alínea “c” do subitem 10.1, de 0,05% a 15,00 </w:t>
      </w:r>
      <w:r w:rsidR="000D5BCC" w:rsidRPr="00FB4958">
        <w:rPr>
          <w:rFonts w:ascii="Cambria" w:eastAsia="Arial" w:hAnsi="Cambria" w:cs="Arial"/>
          <w:sz w:val="22"/>
          <w:szCs w:val="22"/>
        </w:rPr>
        <w:t>% do</w:t>
      </w:r>
      <w:r w:rsidRPr="00FB4958">
        <w:rPr>
          <w:rFonts w:ascii="Cambria" w:eastAsia="Arial" w:hAnsi="Cambria" w:cs="Arial"/>
          <w:sz w:val="22"/>
          <w:szCs w:val="22"/>
        </w:rPr>
        <w:t xml:space="preserve"> valor do Contrato. </w:t>
      </w:r>
    </w:p>
    <w:p w14:paraId="5E5F32F2"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Para infração descrita na alínea “b” do subitem 9.1, a multa será de 0,05% a 15,00%do valor do Contrato.</w:t>
      </w:r>
    </w:p>
    <w:p w14:paraId="05325DF0"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Para infrações descritas na alínea “d” do subitem 9.1, a multa será de 0,05% a 15,00% do valor do Contrato.</w:t>
      </w:r>
    </w:p>
    <w:p w14:paraId="784A6280" w14:textId="77777777" w:rsidR="001F35C6" w:rsidRPr="00FB4958" w:rsidRDefault="001F35C6" w:rsidP="003F7EDF">
      <w:pPr>
        <w:numPr>
          <w:ilvl w:val="3"/>
          <w:numId w:val="4"/>
        </w:numPr>
        <w:spacing w:before="120" w:after="120"/>
        <w:ind w:left="426" w:firstLine="0"/>
        <w:contextualSpacing/>
        <w:jc w:val="both"/>
        <w:rPr>
          <w:rFonts w:ascii="Cambria" w:eastAsia="Arial" w:hAnsi="Cambria" w:cs="Arial"/>
          <w:sz w:val="22"/>
          <w:szCs w:val="22"/>
        </w:rPr>
      </w:pPr>
      <w:r w:rsidRPr="00FB4958">
        <w:rPr>
          <w:rFonts w:ascii="Cambria" w:eastAsia="Arial" w:hAnsi="Cambria" w:cs="Arial"/>
          <w:sz w:val="22"/>
          <w:szCs w:val="22"/>
        </w:rPr>
        <w:t>Para a infração descrita na alínea “a” do subitem 9.1, a multa será de 0,05% a 15,00% do valor do Contrato, ressalvadas as seguintes infrações:</w:t>
      </w:r>
    </w:p>
    <w:p w14:paraId="58B1D00B" w14:textId="77777777" w:rsidR="001F35C6" w:rsidRPr="00FB4958" w:rsidRDefault="001F35C6" w:rsidP="003F7EDF">
      <w:pPr>
        <w:spacing w:before="120" w:after="120"/>
        <w:ind w:left="426"/>
        <w:contextualSpacing/>
        <w:jc w:val="both"/>
        <w:rPr>
          <w:rFonts w:ascii="Cambria" w:hAnsi="Cambria"/>
          <w:sz w:val="22"/>
          <w:szCs w:val="22"/>
        </w:rPr>
      </w:pPr>
    </w:p>
    <w:p w14:paraId="38872677"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previstas neste Contrato não exclui, em hipótese alguma, a obrigação de reparação integral do dano causado ao Contratante (</w:t>
      </w:r>
      <w:hyperlink r:id="rId11" w:anchor="art156§9" w:history="1">
        <w:r w:rsidRPr="00FB4958">
          <w:rPr>
            <w:rFonts w:ascii="Cambria" w:hAnsi="Cambria"/>
            <w:sz w:val="22"/>
            <w:szCs w:val="22"/>
          </w:rPr>
          <w:t>art. 156, §9º, da Lei nº 14.133, de 2021</w:t>
        </w:r>
      </w:hyperlink>
      <w:r w:rsidRPr="00FB4958">
        <w:rPr>
          <w:rFonts w:ascii="Cambria" w:hAnsi="Cambria"/>
          <w:sz w:val="22"/>
          <w:szCs w:val="22"/>
        </w:rPr>
        <w:t>)</w:t>
      </w:r>
    </w:p>
    <w:p w14:paraId="33DB6F5C"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Todas as sanções previstas neste Contrato poderão ser aplicadas cumulativamente com a multa (</w:t>
      </w:r>
      <w:hyperlink r:id="rId12" w:anchor="art156§7" w:history="1">
        <w:r w:rsidRPr="00FB4958">
          <w:rPr>
            <w:rFonts w:ascii="Cambria" w:hAnsi="Cambria"/>
            <w:sz w:val="22"/>
            <w:szCs w:val="22"/>
          </w:rPr>
          <w:t>art. 156, §7º, da Lei nº 14.133, de 2021</w:t>
        </w:r>
      </w:hyperlink>
      <w:r w:rsidRPr="00FB4958">
        <w:rPr>
          <w:rFonts w:ascii="Cambria" w:hAnsi="Cambria"/>
          <w:sz w:val="22"/>
          <w:szCs w:val="22"/>
        </w:rPr>
        <w:t>).</w:t>
      </w:r>
    </w:p>
    <w:p w14:paraId="044BE4E2" w14:textId="77777777" w:rsidR="001F35C6" w:rsidRPr="00FB4958" w:rsidRDefault="001F35C6" w:rsidP="003F7EDF">
      <w:pPr>
        <w:pStyle w:val="Nivel2"/>
        <w:numPr>
          <w:ilvl w:val="2"/>
          <w:numId w:val="2"/>
        </w:numPr>
        <w:spacing w:line="240" w:lineRule="auto"/>
        <w:ind w:left="426"/>
        <w:rPr>
          <w:rFonts w:ascii="Cambria" w:hAnsi="Cambria"/>
          <w:color w:val="auto"/>
          <w:sz w:val="22"/>
          <w:szCs w:val="22"/>
        </w:rPr>
      </w:pPr>
      <w:r w:rsidRPr="00FB4958">
        <w:rPr>
          <w:rFonts w:ascii="Cambria" w:hAnsi="Cambria"/>
          <w:color w:val="auto"/>
          <w:sz w:val="22"/>
          <w:szCs w:val="22"/>
        </w:rPr>
        <w:t>Antes da aplicação da multa será facultada a defesa do interessado no prazo de 15 (quinze) dias úteis, contado da data de sua intimação (</w:t>
      </w:r>
      <w:hyperlink r:id="rId13" w:anchor="art157" w:history="1">
        <w:r w:rsidRPr="00FB4958">
          <w:rPr>
            <w:rFonts w:ascii="Cambria" w:hAnsi="Cambria"/>
            <w:color w:val="auto"/>
            <w:sz w:val="22"/>
            <w:szCs w:val="22"/>
          </w:rPr>
          <w:t>art. 157, da Lei nº 14.133, de 2021</w:t>
        </w:r>
      </w:hyperlink>
      <w:r w:rsidRPr="00FB4958">
        <w:rPr>
          <w:rFonts w:ascii="Cambria" w:hAnsi="Cambria"/>
          <w:color w:val="auto"/>
          <w:sz w:val="22"/>
          <w:szCs w:val="22"/>
        </w:rPr>
        <w:t>)</w:t>
      </w:r>
    </w:p>
    <w:p w14:paraId="6E985803"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14" w:anchor="art156§8" w:history="1">
        <w:r w:rsidRPr="00FB4958">
          <w:rPr>
            <w:rFonts w:ascii="Cambria" w:hAnsi="Cambria"/>
            <w:sz w:val="22"/>
            <w:szCs w:val="22"/>
          </w:rPr>
          <w:t>art. 156, §8º, da Lei nº 14.133, de 2021</w:t>
        </w:r>
      </w:hyperlink>
      <w:r w:rsidRPr="00FB4958">
        <w:rPr>
          <w:rFonts w:ascii="Cambria" w:hAnsi="Cambria"/>
          <w:sz w:val="22"/>
          <w:szCs w:val="22"/>
        </w:rPr>
        <w:t>).</w:t>
      </w:r>
    </w:p>
    <w:p w14:paraId="657567D8"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Previamente ao encaminhamento à cobrança judicial, a multa poderá ser recolhida administrativamente no prazo máximo de 10</w:t>
      </w:r>
      <w:r w:rsidRPr="00FB4958">
        <w:rPr>
          <w:rFonts w:ascii="Cambria" w:hAnsi="Cambria"/>
          <w:i/>
          <w:iCs/>
          <w:sz w:val="22"/>
          <w:szCs w:val="22"/>
        </w:rPr>
        <w:t xml:space="preserve"> </w:t>
      </w:r>
      <w:r w:rsidRPr="00FB4958">
        <w:rPr>
          <w:rFonts w:ascii="Cambria" w:hAnsi="Cambria"/>
          <w:sz w:val="22"/>
          <w:szCs w:val="22"/>
        </w:rPr>
        <w:t>(dez)</w:t>
      </w:r>
      <w:r w:rsidRPr="00FB4958">
        <w:rPr>
          <w:rFonts w:ascii="Cambria" w:hAnsi="Cambria"/>
          <w:i/>
          <w:iCs/>
          <w:sz w:val="22"/>
          <w:szCs w:val="22"/>
        </w:rPr>
        <w:t xml:space="preserve"> </w:t>
      </w:r>
      <w:r w:rsidRPr="00FB4958">
        <w:rPr>
          <w:rFonts w:ascii="Cambria" w:hAnsi="Cambria"/>
          <w:sz w:val="22"/>
          <w:szCs w:val="22"/>
        </w:rPr>
        <w:t>dias, a contar da data do recebimento da comunicação enviada pela autoridade competente.</w:t>
      </w:r>
    </w:p>
    <w:p w14:paraId="641DB3F1"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A aplicação das sanções realizar-se-á em processo administrativo que assegure o contraditório e a ampla defesa ao Contratado, observando-se o procedimento previsto no </w:t>
      </w:r>
      <w:r w:rsidRPr="00FB4958">
        <w:rPr>
          <w:rFonts w:ascii="Cambria" w:hAnsi="Cambria"/>
          <w:b/>
          <w:bCs/>
          <w:sz w:val="22"/>
          <w:szCs w:val="22"/>
        </w:rPr>
        <w:t xml:space="preserve">caput </w:t>
      </w:r>
      <w:r w:rsidRPr="00FB4958">
        <w:rPr>
          <w:rFonts w:ascii="Cambria" w:hAnsi="Cambria"/>
          <w:sz w:val="22"/>
          <w:szCs w:val="22"/>
        </w:rPr>
        <w:t xml:space="preserve">e parágrafos do </w:t>
      </w:r>
      <w:hyperlink r:id="rId15" w:anchor="art158" w:history="1">
        <w:r w:rsidRPr="00FB4958">
          <w:rPr>
            <w:rFonts w:ascii="Cambria" w:hAnsi="Cambria"/>
            <w:sz w:val="22"/>
            <w:szCs w:val="22"/>
          </w:rPr>
          <w:t>art. 158 da Lei nº 14.133, de 2021</w:t>
        </w:r>
      </w:hyperlink>
      <w:r w:rsidRPr="00FB4958">
        <w:rPr>
          <w:rFonts w:ascii="Cambria" w:hAnsi="Cambria"/>
          <w:sz w:val="22"/>
          <w:szCs w:val="22"/>
        </w:rPr>
        <w:t>, para as penalidades de impedimento de licitar e contratar e de declaração de inidoneidade para licitar ou contratar.</w:t>
      </w:r>
    </w:p>
    <w:p w14:paraId="628D02A9"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Na aplicação das sanções serão considerados (</w:t>
      </w:r>
      <w:hyperlink r:id="rId16" w:anchor="art156§1" w:history="1">
        <w:r w:rsidRPr="00FB4958">
          <w:rPr>
            <w:rFonts w:ascii="Cambria" w:hAnsi="Cambria"/>
            <w:sz w:val="22"/>
            <w:szCs w:val="22"/>
          </w:rPr>
          <w:t>art. 156, §1º, da Lei nº 14.133, de 2021</w:t>
        </w:r>
      </w:hyperlink>
      <w:r w:rsidRPr="00FB4958">
        <w:rPr>
          <w:rFonts w:ascii="Cambria" w:hAnsi="Cambria"/>
          <w:sz w:val="22"/>
          <w:szCs w:val="22"/>
        </w:rPr>
        <w:t>):</w:t>
      </w:r>
    </w:p>
    <w:p w14:paraId="56ABECA1"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proofErr w:type="gramStart"/>
      <w:r w:rsidRPr="00FB4958">
        <w:rPr>
          <w:rFonts w:ascii="Cambria" w:eastAsia="Arial" w:hAnsi="Cambria" w:cs="Arial"/>
          <w:sz w:val="22"/>
          <w:szCs w:val="22"/>
        </w:rPr>
        <w:t>a</w:t>
      </w:r>
      <w:proofErr w:type="gramEnd"/>
      <w:r w:rsidRPr="00FB4958">
        <w:rPr>
          <w:rFonts w:ascii="Cambria" w:eastAsia="Arial" w:hAnsi="Cambria" w:cs="Arial"/>
          <w:sz w:val="22"/>
          <w:szCs w:val="22"/>
        </w:rPr>
        <w:t xml:space="preserve"> natureza e a gravidade da infração cometida;</w:t>
      </w:r>
    </w:p>
    <w:p w14:paraId="1CA1B129"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proofErr w:type="gramStart"/>
      <w:r w:rsidRPr="00FB4958">
        <w:rPr>
          <w:rFonts w:ascii="Cambria" w:eastAsia="Arial" w:hAnsi="Cambria" w:cs="Arial"/>
          <w:sz w:val="22"/>
          <w:szCs w:val="22"/>
        </w:rPr>
        <w:t>as</w:t>
      </w:r>
      <w:proofErr w:type="gramEnd"/>
      <w:r w:rsidRPr="00FB4958">
        <w:rPr>
          <w:rFonts w:ascii="Cambria" w:eastAsia="Arial" w:hAnsi="Cambria" w:cs="Arial"/>
          <w:sz w:val="22"/>
          <w:szCs w:val="22"/>
        </w:rPr>
        <w:t xml:space="preserve"> peculiaridades do caso concreto;</w:t>
      </w:r>
    </w:p>
    <w:p w14:paraId="02162F1D"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proofErr w:type="gramStart"/>
      <w:r w:rsidRPr="00FB4958">
        <w:rPr>
          <w:rFonts w:ascii="Cambria" w:eastAsia="Arial" w:hAnsi="Cambria" w:cs="Arial"/>
          <w:sz w:val="22"/>
          <w:szCs w:val="22"/>
        </w:rPr>
        <w:t>as</w:t>
      </w:r>
      <w:proofErr w:type="gramEnd"/>
      <w:r w:rsidRPr="00FB4958">
        <w:rPr>
          <w:rFonts w:ascii="Cambria" w:eastAsia="Arial" w:hAnsi="Cambria" w:cs="Arial"/>
          <w:sz w:val="22"/>
          <w:szCs w:val="22"/>
        </w:rPr>
        <w:t xml:space="preserve"> circunstâncias agravantes ou atenuantes;</w:t>
      </w:r>
    </w:p>
    <w:p w14:paraId="281A2E5F"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proofErr w:type="gramStart"/>
      <w:r w:rsidRPr="00FB4958">
        <w:rPr>
          <w:rFonts w:ascii="Cambria" w:eastAsia="Arial" w:hAnsi="Cambria" w:cs="Arial"/>
          <w:sz w:val="22"/>
          <w:szCs w:val="22"/>
        </w:rPr>
        <w:t>os</w:t>
      </w:r>
      <w:proofErr w:type="gramEnd"/>
      <w:r w:rsidRPr="00FB4958">
        <w:rPr>
          <w:rFonts w:ascii="Cambria" w:eastAsia="Arial" w:hAnsi="Cambria" w:cs="Arial"/>
          <w:sz w:val="22"/>
          <w:szCs w:val="22"/>
        </w:rPr>
        <w:t xml:space="preserve"> danos que dela provierem para o Contratante;</w:t>
      </w:r>
    </w:p>
    <w:p w14:paraId="0F71CD41" w14:textId="77777777" w:rsidR="001F35C6" w:rsidRPr="00FB4958" w:rsidRDefault="001F35C6" w:rsidP="003F7EDF">
      <w:pPr>
        <w:numPr>
          <w:ilvl w:val="0"/>
          <w:numId w:val="5"/>
        </w:numPr>
        <w:spacing w:before="120" w:after="120"/>
        <w:ind w:left="426" w:firstLine="0"/>
        <w:contextualSpacing/>
        <w:jc w:val="both"/>
        <w:rPr>
          <w:rFonts w:ascii="Cambria" w:eastAsia="Arial" w:hAnsi="Cambria" w:cs="Arial"/>
          <w:sz w:val="22"/>
          <w:szCs w:val="22"/>
        </w:rPr>
      </w:pPr>
      <w:proofErr w:type="gramStart"/>
      <w:r w:rsidRPr="00FB4958">
        <w:rPr>
          <w:rFonts w:ascii="Cambria" w:eastAsia="Arial" w:hAnsi="Cambria" w:cs="Arial"/>
          <w:sz w:val="22"/>
          <w:szCs w:val="22"/>
        </w:rPr>
        <w:t>a</w:t>
      </w:r>
      <w:proofErr w:type="gramEnd"/>
      <w:r w:rsidRPr="00FB4958">
        <w:rPr>
          <w:rFonts w:ascii="Cambria" w:eastAsia="Arial" w:hAnsi="Cambria" w:cs="Arial"/>
          <w:sz w:val="22"/>
          <w:szCs w:val="22"/>
        </w:rPr>
        <w:t xml:space="preserve"> implantação ou o aperfeiçoamento de programa de integridade, conforme normas e orientações dos órgãos de controle.</w:t>
      </w:r>
    </w:p>
    <w:p w14:paraId="1BDBFFD2"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lastRenderedPageBreak/>
        <w:t xml:space="preserve">Os atos previstos como infrações administrativas na </w:t>
      </w:r>
      <w:hyperlink r:id="rId17" w:history="1">
        <w:r w:rsidRPr="00FB4958">
          <w:rPr>
            <w:rFonts w:ascii="Cambria" w:hAnsi="Cambria"/>
            <w:sz w:val="22"/>
            <w:szCs w:val="22"/>
          </w:rPr>
          <w:t>Lei nº 14.133, de 2021</w:t>
        </w:r>
      </w:hyperlink>
      <w:r w:rsidRPr="00FB4958">
        <w:rPr>
          <w:rFonts w:ascii="Cambria" w:hAnsi="Cambria"/>
          <w:sz w:val="22"/>
          <w:szCs w:val="22"/>
        </w:rPr>
        <w:t xml:space="preserve">, ou em outras leis de licitações e contratos da Administração Pública que também sejam tipificados como atos lesivos </w:t>
      </w:r>
      <w:hyperlink r:id="rId18" w:history="1">
        <w:r w:rsidRPr="00FB4958">
          <w:rPr>
            <w:rFonts w:ascii="Cambria" w:hAnsi="Cambria"/>
            <w:sz w:val="22"/>
            <w:szCs w:val="22"/>
          </w:rPr>
          <w:t>na Lei nº 12.846, de 2013</w:t>
        </w:r>
      </w:hyperlink>
      <w:r w:rsidRPr="00FB4958">
        <w:rPr>
          <w:rFonts w:ascii="Cambria" w:hAnsi="Cambria"/>
          <w:sz w:val="22"/>
          <w:szCs w:val="22"/>
        </w:rPr>
        <w:t xml:space="preserve">, serão apurados e julgados conjuntamente, nos mesmos autos, observados o rito procedimental e autoridade competente definidos na referida </w:t>
      </w:r>
      <w:hyperlink r:id="rId19" w:anchor="art159" w:history="1">
        <w:r w:rsidRPr="00FB4958">
          <w:rPr>
            <w:rFonts w:ascii="Cambria" w:hAnsi="Cambria"/>
            <w:sz w:val="22"/>
            <w:szCs w:val="22"/>
          </w:rPr>
          <w:t>Lei (art. 159</w:t>
        </w:r>
      </w:hyperlink>
      <w:r w:rsidRPr="00FB4958">
        <w:rPr>
          <w:rFonts w:ascii="Cambria" w:hAnsi="Cambria"/>
          <w:sz w:val="22"/>
          <w:szCs w:val="22"/>
        </w:rPr>
        <w:t>).</w:t>
      </w:r>
    </w:p>
    <w:p w14:paraId="61F1E085" w14:textId="77777777" w:rsidR="001F35C6" w:rsidRPr="00FB4958" w:rsidRDefault="001F35C6" w:rsidP="003F7EDF">
      <w:pPr>
        <w:numPr>
          <w:ilvl w:val="1"/>
          <w:numId w:val="2"/>
        </w:numPr>
        <w:jc w:val="both"/>
        <w:rPr>
          <w:rFonts w:ascii="Cambria" w:hAnsi="Cambria"/>
          <w:i/>
          <w:iCs/>
          <w:sz w:val="22"/>
          <w:szCs w:val="22"/>
        </w:rPr>
      </w:pPr>
      <w:r w:rsidRPr="00FB4958">
        <w:rPr>
          <w:rFonts w:ascii="Cambria" w:hAnsi="Cambria"/>
          <w:sz w:val="22"/>
          <w:szCs w:val="22"/>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20" w:anchor="art160" w:history="1">
        <w:r w:rsidRPr="00FB4958">
          <w:rPr>
            <w:rFonts w:ascii="Cambria" w:hAnsi="Cambria"/>
            <w:sz w:val="22"/>
            <w:szCs w:val="22"/>
          </w:rPr>
          <w:t>art. 160, da Lei nº 14.133, de 2021</w:t>
        </w:r>
      </w:hyperlink>
      <w:r w:rsidRPr="00FB4958">
        <w:rPr>
          <w:rFonts w:ascii="Cambria" w:hAnsi="Cambria"/>
          <w:sz w:val="22"/>
          <w:szCs w:val="22"/>
        </w:rPr>
        <w:t>)</w:t>
      </w:r>
    </w:p>
    <w:p w14:paraId="173F483A" w14:textId="77777777" w:rsidR="001F35C6" w:rsidRPr="00FB4958" w:rsidRDefault="001F35C6" w:rsidP="003F7EDF">
      <w:pPr>
        <w:numPr>
          <w:ilvl w:val="1"/>
          <w:numId w:val="2"/>
        </w:numPr>
        <w:jc w:val="both"/>
        <w:rPr>
          <w:rFonts w:ascii="Cambria" w:hAnsi="Cambria"/>
          <w:i/>
          <w:iCs/>
          <w:sz w:val="22"/>
          <w:szCs w:val="22"/>
        </w:rPr>
      </w:pPr>
      <w:r w:rsidRPr="00FB4958">
        <w:rPr>
          <w:rFonts w:ascii="Cambria" w:hAnsi="Cambria"/>
          <w:sz w:val="22"/>
          <w:szCs w:val="22"/>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rsidRPr="00FB4958">
        <w:rPr>
          <w:rFonts w:ascii="Cambria" w:hAnsi="Cambria"/>
          <w:sz w:val="22"/>
          <w:szCs w:val="22"/>
        </w:rPr>
        <w:t>Ceis</w:t>
      </w:r>
      <w:proofErr w:type="spellEnd"/>
      <w:r w:rsidRPr="00FB4958">
        <w:rPr>
          <w:rFonts w:ascii="Cambria" w:hAnsi="Cambria"/>
          <w:sz w:val="22"/>
          <w:szCs w:val="22"/>
        </w:rPr>
        <w:t>) e no Cadastro Nacional de Empresas Punidas (</w:t>
      </w:r>
      <w:proofErr w:type="spellStart"/>
      <w:r w:rsidRPr="00FB4958">
        <w:rPr>
          <w:rFonts w:ascii="Cambria" w:hAnsi="Cambria"/>
          <w:sz w:val="22"/>
          <w:szCs w:val="22"/>
        </w:rPr>
        <w:t>Cnep</w:t>
      </w:r>
      <w:proofErr w:type="spellEnd"/>
      <w:r w:rsidRPr="00FB4958">
        <w:rPr>
          <w:rFonts w:ascii="Cambria" w:hAnsi="Cambria"/>
          <w:sz w:val="22"/>
          <w:szCs w:val="22"/>
        </w:rPr>
        <w:t>), instituídos no âmbito do Poder Executivo Federal. (</w:t>
      </w:r>
      <w:hyperlink r:id="rId21" w:anchor="art161" w:history="1">
        <w:r w:rsidRPr="00FB4958">
          <w:rPr>
            <w:rFonts w:ascii="Cambria" w:hAnsi="Cambria"/>
            <w:sz w:val="22"/>
            <w:szCs w:val="22"/>
          </w:rPr>
          <w:t>Art. 161, da Lei nº 14.133, de 2021</w:t>
        </w:r>
      </w:hyperlink>
      <w:r w:rsidRPr="00FB4958">
        <w:rPr>
          <w:rFonts w:ascii="Cambria" w:hAnsi="Cambria"/>
          <w:sz w:val="22"/>
          <w:szCs w:val="22"/>
        </w:rPr>
        <w:t>)</w:t>
      </w:r>
    </w:p>
    <w:p w14:paraId="71C2A0D9" w14:textId="77777777" w:rsidR="001F35C6" w:rsidRPr="00FB4958" w:rsidRDefault="001F35C6" w:rsidP="003F7EDF">
      <w:pPr>
        <w:numPr>
          <w:ilvl w:val="1"/>
          <w:numId w:val="2"/>
        </w:numPr>
        <w:jc w:val="both"/>
        <w:rPr>
          <w:rFonts w:ascii="Cambria" w:hAnsi="Cambria"/>
          <w:i/>
          <w:iCs/>
          <w:sz w:val="22"/>
          <w:szCs w:val="22"/>
        </w:rPr>
      </w:pPr>
      <w:r w:rsidRPr="00FB4958">
        <w:rPr>
          <w:rFonts w:ascii="Cambria" w:hAnsi="Cambria"/>
          <w:sz w:val="22"/>
          <w:szCs w:val="22"/>
        </w:rPr>
        <w:t xml:space="preserve">As sanções de impedimento de licitar e contratar e declaração de inidoneidade para licitar ou contratar são passíveis de reabilitação na forma do </w:t>
      </w:r>
      <w:hyperlink r:id="rId22" w:anchor="art163" w:history="1">
        <w:r w:rsidRPr="00FB4958">
          <w:rPr>
            <w:rFonts w:ascii="Cambria" w:hAnsi="Cambria"/>
            <w:sz w:val="22"/>
            <w:szCs w:val="22"/>
          </w:rPr>
          <w:t>art. 163 da Lei nº 14.133/21.</w:t>
        </w:r>
      </w:hyperlink>
    </w:p>
    <w:p w14:paraId="52A1A57C" w14:textId="77777777" w:rsidR="001F35C6" w:rsidRPr="00FB4958" w:rsidRDefault="001F35C6" w:rsidP="003F7EDF">
      <w:pPr>
        <w:numPr>
          <w:ilvl w:val="1"/>
          <w:numId w:val="2"/>
        </w:numPr>
        <w:suppressAutoHyphens w:val="0"/>
        <w:spacing w:before="120" w:after="120"/>
        <w:jc w:val="both"/>
        <w:rPr>
          <w:rFonts w:ascii="Cambria" w:hAnsi="Cambria" w:cs="Calibri Light"/>
          <w:b/>
          <w:sz w:val="22"/>
          <w:szCs w:val="22"/>
        </w:rPr>
      </w:pPr>
      <w:r w:rsidRPr="00FB4958">
        <w:rPr>
          <w:rFonts w:ascii="Cambria" w:hAnsi="Cambria"/>
          <w:sz w:val="22"/>
          <w:szCs w:val="22"/>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w:t>
      </w:r>
      <w:hyperlink r:id="rId23" w:history="1">
        <w:r w:rsidRPr="00FB4958">
          <w:rPr>
            <w:rFonts w:ascii="Cambria" w:hAnsi="Cambria"/>
            <w:sz w:val="22"/>
            <w:szCs w:val="22"/>
          </w:rPr>
          <w:t>Instrução Normativa SEGES/ME nº 26, de 13 de abril de 2022</w:t>
        </w:r>
      </w:hyperlink>
      <w:r w:rsidRPr="00FB4958">
        <w:rPr>
          <w:rFonts w:ascii="Cambria" w:hAnsi="Cambria"/>
          <w:sz w:val="22"/>
          <w:szCs w:val="22"/>
        </w:rPr>
        <w:t>.</w:t>
      </w:r>
    </w:p>
    <w:p w14:paraId="1E565B3E" w14:textId="77777777" w:rsidR="001F35C6" w:rsidRPr="00FB4958" w:rsidRDefault="001F35C6" w:rsidP="003F7EDF">
      <w:pPr>
        <w:pStyle w:val="Nivel01"/>
        <w:rPr>
          <w:rFonts w:ascii="Cambria" w:hAnsi="Cambria" w:cs="Calibri Light"/>
          <w:sz w:val="22"/>
          <w:szCs w:val="22"/>
        </w:rPr>
      </w:pPr>
      <w:r w:rsidRPr="00FB4958">
        <w:rPr>
          <w:rFonts w:ascii="Cambria" w:hAnsi="Cambria" w:cs="Calibri Light"/>
          <w:sz w:val="22"/>
          <w:szCs w:val="22"/>
        </w:rPr>
        <w:t xml:space="preserve">CLÁUSULA DÉCIMA – </w:t>
      </w:r>
      <w:r w:rsidRPr="00FB4958">
        <w:rPr>
          <w:rFonts w:ascii="Cambria" w:hAnsi="Cambria"/>
          <w:sz w:val="22"/>
          <w:szCs w:val="22"/>
        </w:rPr>
        <w:t>DA EXTINÇÃO CONTRATUAL</w:t>
      </w:r>
    </w:p>
    <w:p w14:paraId="71F72127" w14:textId="77777777" w:rsidR="001F35C6" w:rsidRPr="00FB4958" w:rsidRDefault="001F35C6" w:rsidP="003F7EDF">
      <w:pPr>
        <w:pStyle w:val="PargrafodaLista"/>
        <w:numPr>
          <w:ilvl w:val="1"/>
          <w:numId w:val="7"/>
        </w:numPr>
        <w:jc w:val="both"/>
        <w:rPr>
          <w:rFonts w:ascii="Cambria" w:hAnsi="Cambria"/>
          <w:i/>
          <w:iCs/>
          <w:sz w:val="22"/>
          <w:szCs w:val="22"/>
        </w:rPr>
      </w:pPr>
      <w:r w:rsidRPr="00FB4958">
        <w:rPr>
          <w:rFonts w:ascii="Cambria" w:hAnsi="Cambria"/>
          <w:sz w:val="22"/>
          <w:szCs w:val="22"/>
        </w:rPr>
        <w:t>O contrato será extinto quando cumpridas as obrigações de ambas as partes, ainda que isso ocorra antes do prazo estipulado para tanto.</w:t>
      </w:r>
    </w:p>
    <w:p w14:paraId="30BFC7E2"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Se as obrigações não forem cumpridas no prazo estipulado, a vigência ficará prorrogada até a conclusão do objeto, caso em que deverá a Administração providenciar a readequação do cronograma fixado para o contrato.</w:t>
      </w:r>
    </w:p>
    <w:p w14:paraId="48640689"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Quando a não conclusão do contrato referida no item anterior decorrer de culpa do contratado:</w:t>
      </w:r>
    </w:p>
    <w:p w14:paraId="405BA304" w14:textId="77777777" w:rsidR="001F35C6" w:rsidRPr="00FB4958" w:rsidRDefault="001F35C6" w:rsidP="003F7EDF">
      <w:pPr>
        <w:pStyle w:val="PargrafodaLista"/>
        <w:numPr>
          <w:ilvl w:val="0"/>
          <w:numId w:val="6"/>
        </w:numPr>
        <w:spacing w:before="120" w:after="120"/>
        <w:ind w:left="426" w:firstLine="0"/>
        <w:contextualSpacing/>
        <w:jc w:val="both"/>
        <w:rPr>
          <w:rFonts w:ascii="Cambria" w:eastAsia="Arial" w:hAnsi="Cambria" w:cs="Arial"/>
          <w:sz w:val="22"/>
          <w:szCs w:val="22"/>
        </w:rPr>
      </w:pPr>
      <w:proofErr w:type="gramStart"/>
      <w:r w:rsidRPr="00FB4958">
        <w:rPr>
          <w:rFonts w:ascii="Cambria" w:eastAsia="Arial" w:hAnsi="Cambria" w:cs="Arial"/>
          <w:sz w:val="22"/>
          <w:szCs w:val="22"/>
        </w:rPr>
        <w:t>ficará</w:t>
      </w:r>
      <w:proofErr w:type="gramEnd"/>
      <w:r w:rsidRPr="00FB4958">
        <w:rPr>
          <w:rFonts w:ascii="Cambria" w:eastAsia="Arial" w:hAnsi="Cambria" w:cs="Arial"/>
          <w:sz w:val="22"/>
          <w:szCs w:val="22"/>
        </w:rPr>
        <w:t xml:space="preserve"> ele constituído em mora, sendo-lhe aplicáveis as respectivas sanções administrativas; e  </w:t>
      </w:r>
    </w:p>
    <w:p w14:paraId="1689A3DA" w14:textId="77777777" w:rsidR="001F35C6" w:rsidRPr="00FB4958" w:rsidRDefault="001F35C6" w:rsidP="003F7EDF">
      <w:pPr>
        <w:pStyle w:val="PargrafodaLista"/>
        <w:numPr>
          <w:ilvl w:val="0"/>
          <w:numId w:val="6"/>
        </w:numPr>
        <w:spacing w:before="120" w:after="120"/>
        <w:ind w:left="426" w:firstLine="0"/>
        <w:contextualSpacing/>
        <w:jc w:val="both"/>
        <w:rPr>
          <w:rFonts w:ascii="Cambria" w:eastAsia="Arial" w:hAnsi="Cambria" w:cs="Arial"/>
          <w:sz w:val="22"/>
          <w:szCs w:val="22"/>
        </w:rPr>
      </w:pPr>
      <w:proofErr w:type="gramStart"/>
      <w:r w:rsidRPr="00FB4958">
        <w:rPr>
          <w:rFonts w:ascii="Cambria" w:eastAsia="Arial" w:hAnsi="Cambria" w:cs="Arial"/>
          <w:sz w:val="22"/>
          <w:szCs w:val="22"/>
        </w:rPr>
        <w:t>poderá</w:t>
      </w:r>
      <w:proofErr w:type="gramEnd"/>
      <w:r w:rsidRPr="00FB4958">
        <w:rPr>
          <w:rFonts w:ascii="Cambria" w:eastAsia="Arial" w:hAnsi="Cambria" w:cs="Arial"/>
          <w:sz w:val="22"/>
          <w:szCs w:val="22"/>
        </w:rPr>
        <w:t xml:space="preserve"> a Administração optar pela extinção do contrato e, nesse caso, adotará as medidas admitidas em lei para a continuidade da execução contratual</w:t>
      </w:r>
    </w:p>
    <w:p w14:paraId="395F9C0A"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O contrato será extinto quando vencido o prazo nele estipulado, independentemente de terem sido cumpridas ou não as obrigações de ambas as partes contraentes.</w:t>
      </w:r>
    </w:p>
    <w:p w14:paraId="23F20E2A"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O contrato poderá ser extinto antes do prazo nele fixado, sem ônus para o contratante, quando esta não dispuser de créditos orçamentários para sua continuidade ou quando entender que o contrato não mais lhe oferece vantagem.</w:t>
      </w:r>
    </w:p>
    <w:p w14:paraId="181635A1"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A extinção nesta hipótese ocorrerá na próxima data de aniversário do contrato, desde que haja a notificação do contratado pelo contratante nesse sentido com pelo menos 2 (dois) meses de antecedência desse dia.</w:t>
      </w:r>
    </w:p>
    <w:p w14:paraId="27142932" w14:textId="77777777" w:rsidR="001F35C6" w:rsidRPr="00FB4958" w:rsidRDefault="001F35C6" w:rsidP="003F7EDF">
      <w:pPr>
        <w:numPr>
          <w:ilvl w:val="1"/>
          <w:numId w:val="7"/>
        </w:numPr>
        <w:jc w:val="both"/>
        <w:rPr>
          <w:rFonts w:ascii="Cambria" w:hAnsi="Cambria"/>
          <w:i/>
          <w:iCs/>
          <w:sz w:val="22"/>
          <w:szCs w:val="22"/>
        </w:rPr>
      </w:pPr>
      <w:r w:rsidRPr="00FB4958">
        <w:rPr>
          <w:rFonts w:ascii="Cambria" w:hAnsi="Cambria"/>
          <w:sz w:val="22"/>
          <w:szCs w:val="22"/>
        </w:rPr>
        <w:t>Caso a notificação da não-continuidade do contrato de que trata este subitem ocorra com menos de 2 (dois) meses da data de aniversário, a extinção contratual ocorrerá após 2 (dois) meses da data da comunicação.</w:t>
      </w:r>
    </w:p>
    <w:p w14:paraId="4B7D367C" w14:textId="77777777" w:rsidR="001F35C6" w:rsidRPr="00FB4958" w:rsidRDefault="001F35C6" w:rsidP="003F7EDF">
      <w:pPr>
        <w:numPr>
          <w:ilvl w:val="1"/>
          <w:numId w:val="7"/>
        </w:numPr>
        <w:jc w:val="both"/>
        <w:rPr>
          <w:rFonts w:ascii="Cambria" w:hAnsi="Cambria"/>
          <w:sz w:val="22"/>
          <w:szCs w:val="22"/>
        </w:rPr>
      </w:pPr>
      <w:r w:rsidRPr="00FB4958">
        <w:rPr>
          <w:rFonts w:ascii="Cambria" w:hAnsi="Cambria"/>
          <w:sz w:val="22"/>
          <w:szCs w:val="22"/>
        </w:rPr>
        <w:t xml:space="preserve">O contrato poderá ser extinto antes de cumpridas as obrigações nele estipuladas, ou antes do prazo nele fixado, por algum dos motivos previstos no </w:t>
      </w:r>
      <w:hyperlink r:id="rId24" w:anchor="art137" w:history="1">
        <w:r w:rsidRPr="00FB4958">
          <w:rPr>
            <w:rFonts w:ascii="Cambria" w:hAnsi="Cambria"/>
            <w:sz w:val="22"/>
            <w:szCs w:val="22"/>
          </w:rPr>
          <w:t>artigo 137 da Lei nº 14.133/21</w:t>
        </w:r>
      </w:hyperlink>
      <w:r w:rsidRPr="00FB4958">
        <w:rPr>
          <w:rFonts w:ascii="Cambria" w:hAnsi="Cambria"/>
          <w:sz w:val="22"/>
          <w:szCs w:val="22"/>
        </w:rPr>
        <w:t>, bem como amigavelmente, assegurados o contraditório e a ampla defesa.</w:t>
      </w:r>
    </w:p>
    <w:p w14:paraId="1DA00C4A" w14:textId="77777777" w:rsidR="001F35C6" w:rsidRPr="00FB4958" w:rsidRDefault="001F35C6" w:rsidP="003F7EDF">
      <w:pPr>
        <w:pStyle w:val="Nivel2"/>
        <w:numPr>
          <w:ilvl w:val="2"/>
          <w:numId w:val="7"/>
        </w:numPr>
        <w:spacing w:line="240" w:lineRule="auto"/>
        <w:ind w:left="426"/>
        <w:rPr>
          <w:rFonts w:ascii="Cambria" w:hAnsi="Cambria"/>
          <w:color w:val="auto"/>
          <w:sz w:val="22"/>
          <w:szCs w:val="22"/>
        </w:rPr>
      </w:pPr>
      <w:r w:rsidRPr="00FB4958">
        <w:rPr>
          <w:rFonts w:ascii="Cambria" w:hAnsi="Cambria"/>
          <w:color w:val="auto"/>
          <w:sz w:val="22"/>
          <w:szCs w:val="22"/>
        </w:rPr>
        <w:lastRenderedPageBreak/>
        <w:t xml:space="preserve">Nesta hipótese, aplicam-se também os </w:t>
      </w:r>
      <w:hyperlink r:id="rId25" w:anchor="art138" w:history="1">
        <w:r w:rsidRPr="00FB4958">
          <w:rPr>
            <w:rFonts w:ascii="Cambria" w:hAnsi="Cambria"/>
            <w:color w:val="auto"/>
            <w:sz w:val="22"/>
            <w:szCs w:val="22"/>
          </w:rPr>
          <w:t>artigos 138 e 139</w:t>
        </w:r>
      </w:hyperlink>
      <w:r w:rsidRPr="00FB4958">
        <w:rPr>
          <w:rFonts w:ascii="Cambria" w:hAnsi="Cambria"/>
          <w:color w:val="auto"/>
          <w:sz w:val="22"/>
          <w:szCs w:val="22"/>
        </w:rPr>
        <w:t xml:space="preserve"> da mesma Lei.</w:t>
      </w:r>
    </w:p>
    <w:p w14:paraId="2004332C" w14:textId="77777777" w:rsidR="001F35C6" w:rsidRPr="00FB4958" w:rsidRDefault="001F35C6" w:rsidP="003F7EDF">
      <w:pPr>
        <w:pStyle w:val="Nivel2"/>
        <w:numPr>
          <w:ilvl w:val="2"/>
          <w:numId w:val="7"/>
        </w:numPr>
        <w:spacing w:line="240" w:lineRule="auto"/>
        <w:ind w:left="426"/>
        <w:rPr>
          <w:rFonts w:ascii="Cambria" w:hAnsi="Cambria"/>
          <w:color w:val="auto"/>
          <w:sz w:val="22"/>
          <w:szCs w:val="22"/>
        </w:rPr>
      </w:pPr>
      <w:r w:rsidRPr="00FB4958">
        <w:rPr>
          <w:rFonts w:ascii="Cambria" w:hAnsi="Cambria"/>
          <w:color w:val="auto"/>
          <w:sz w:val="22"/>
          <w:szCs w:val="22"/>
        </w:rPr>
        <w:t>A alteração social ou a modificação da finalidade ou da estrutura da empresa não ensejará a extinção se não restringir sua capacidade de concluir o contrato.</w:t>
      </w:r>
    </w:p>
    <w:p w14:paraId="5C2BF2FA" w14:textId="77777777" w:rsidR="001F35C6" w:rsidRPr="00FB4958" w:rsidRDefault="001F35C6" w:rsidP="003F7EDF">
      <w:pPr>
        <w:pStyle w:val="Nivel4"/>
        <w:numPr>
          <w:ilvl w:val="3"/>
          <w:numId w:val="7"/>
        </w:numPr>
        <w:spacing w:line="240" w:lineRule="auto"/>
        <w:ind w:left="426"/>
        <w:rPr>
          <w:rFonts w:ascii="Cambria" w:hAnsi="Cambria"/>
          <w:sz w:val="22"/>
          <w:szCs w:val="22"/>
        </w:rPr>
      </w:pPr>
      <w:r w:rsidRPr="00FB4958">
        <w:rPr>
          <w:rFonts w:ascii="Cambria" w:hAnsi="Cambria"/>
          <w:sz w:val="22"/>
          <w:szCs w:val="22"/>
        </w:rPr>
        <w:t>Se a operação implicar mudança da pessoa jurídica contratada, deverá ser formalizado termo aditivo para alteração subjetiva.</w:t>
      </w:r>
    </w:p>
    <w:p w14:paraId="1D15526A" w14:textId="77777777" w:rsidR="001F35C6" w:rsidRPr="00FB4958" w:rsidRDefault="001F35C6" w:rsidP="003F7EDF">
      <w:pPr>
        <w:numPr>
          <w:ilvl w:val="1"/>
          <w:numId w:val="7"/>
        </w:numPr>
        <w:jc w:val="both"/>
        <w:rPr>
          <w:rFonts w:ascii="Cambria" w:hAnsi="Cambria"/>
          <w:sz w:val="22"/>
          <w:szCs w:val="22"/>
        </w:rPr>
      </w:pPr>
      <w:r w:rsidRPr="00FB4958">
        <w:rPr>
          <w:rFonts w:ascii="Cambria" w:hAnsi="Cambria"/>
          <w:sz w:val="22"/>
          <w:szCs w:val="22"/>
        </w:rPr>
        <w:t>O termo de extinção, sempre que possível, será precedido:</w:t>
      </w:r>
    </w:p>
    <w:p w14:paraId="56076E12" w14:textId="77777777" w:rsidR="001F35C6" w:rsidRPr="00FB4958" w:rsidRDefault="001F35C6" w:rsidP="003F7EDF">
      <w:pPr>
        <w:pStyle w:val="Nivel4"/>
        <w:numPr>
          <w:ilvl w:val="3"/>
          <w:numId w:val="7"/>
        </w:numPr>
        <w:spacing w:line="240" w:lineRule="auto"/>
        <w:ind w:left="426"/>
        <w:rPr>
          <w:rFonts w:ascii="Cambria" w:hAnsi="Cambria"/>
          <w:sz w:val="22"/>
          <w:szCs w:val="22"/>
        </w:rPr>
      </w:pPr>
      <w:r w:rsidRPr="00FB4958">
        <w:rPr>
          <w:rFonts w:ascii="Cambria" w:hAnsi="Cambria"/>
          <w:sz w:val="22"/>
          <w:szCs w:val="22"/>
        </w:rPr>
        <w:t>Balanço dos eventos contratuais já cumpridos ou parcialmente cumpridos;</w:t>
      </w:r>
    </w:p>
    <w:p w14:paraId="76167FE7" w14:textId="77777777" w:rsidR="001F35C6" w:rsidRPr="00FB4958" w:rsidRDefault="001F35C6" w:rsidP="003F7EDF">
      <w:pPr>
        <w:pStyle w:val="Nivel4"/>
        <w:numPr>
          <w:ilvl w:val="3"/>
          <w:numId w:val="7"/>
        </w:numPr>
        <w:spacing w:line="240" w:lineRule="auto"/>
        <w:ind w:left="426"/>
        <w:rPr>
          <w:rFonts w:ascii="Cambria" w:hAnsi="Cambria"/>
          <w:sz w:val="22"/>
          <w:szCs w:val="22"/>
        </w:rPr>
      </w:pPr>
      <w:r w:rsidRPr="00FB4958">
        <w:rPr>
          <w:rFonts w:ascii="Cambria" w:hAnsi="Cambria"/>
          <w:sz w:val="22"/>
          <w:szCs w:val="22"/>
        </w:rPr>
        <w:t>Relação dos pagamentos já efetuados e ainda devidos;</w:t>
      </w:r>
    </w:p>
    <w:p w14:paraId="5835B92D" w14:textId="77777777" w:rsidR="001F35C6" w:rsidRPr="00FB4958" w:rsidRDefault="001F35C6" w:rsidP="003F7EDF">
      <w:pPr>
        <w:pStyle w:val="Nivel4"/>
        <w:numPr>
          <w:ilvl w:val="3"/>
          <w:numId w:val="7"/>
        </w:numPr>
        <w:spacing w:line="240" w:lineRule="auto"/>
        <w:ind w:left="426"/>
        <w:rPr>
          <w:rFonts w:ascii="Cambria" w:hAnsi="Cambria"/>
          <w:sz w:val="22"/>
          <w:szCs w:val="22"/>
        </w:rPr>
      </w:pPr>
      <w:r w:rsidRPr="00FB4958">
        <w:rPr>
          <w:rFonts w:ascii="Cambria" w:hAnsi="Cambria"/>
          <w:sz w:val="22"/>
          <w:szCs w:val="22"/>
        </w:rPr>
        <w:t>Indenizações e multas.</w:t>
      </w:r>
    </w:p>
    <w:p w14:paraId="200DE1B8" w14:textId="77777777" w:rsidR="001F35C6" w:rsidRPr="00FB4958" w:rsidRDefault="001F35C6" w:rsidP="003F7EDF">
      <w:pPr>
        <w:numPr>
          <w:ilvl w:val="1"/>
          <w:numId w:val="7"/>
        </w:numPr>
        <w:jc w:val="both"/>
        <w:rPr>
          <w:rFonts w:ascii="Cambria" w:hAnsi="Cambria"/>
          <w:sz w:val="22"/>
          <w:szCs w:val="22"/>
        </w:rPr>
      </w:pPr>
      <w:r w:rsidRPr="00FB4958">
        <w:rPr>
          <w:rFonts w:ascii="Cambria" w:hAnsi="Cambria"/>
          <w:sz w:val="22"/>
          <w:szCs w:val="22"/>
        </w:rPr>
        <w:t>A extinção do contrato não configura óbice para o reconhecimento do desequilíbrio econômico-financeiro, hipótese em que será concedida indenização por meio de termo indenizatório (</w:t>
      </w:r>
      <w:hyperlink r:id="rId26" w:anchor="art131" w:history="1">
        <w:r w:rsidRPr="00FB4958">
          <w:rPr>
            <w:rFonts w:ascii="Cambria" w:hAnsi="Cambria"/>
            <w:sz w:val="22"/>
            <w:szCs w:val="22"/>
          </w:rPr>
          <w:t xml:space="preserve">art. 131, </w:t>
        </w:r>
        <w:r w:rsidRPr="00FB4958">
          <w:rPr>
            <w:rFonts w:ascii="Cambria" w:hAnsi="Cambria"/>
            <w:i/>
            <w:iCs/>
            <w:sz w:val="22"/>
            <w:szCs w:val="22"/>
          </w:rPr>
          <w:t xml:space="preserve">caput, </w:t>
        </w:r>
        <w:r w:rsidRPr="00FB4958">
          <w:rPr>
            <w:rFonts w:ascii="Cambria" w:hAnsi="Cambria"/>
            <w:sz w:val="22"/>
            <w:szCs w:val="22"/>
          </w:rPr>
          <w:t>da Lei n.º 14.133, de 2021).</w:t>
        </w:r>
      </w:hyperlink>
      <w:r w:rsidRPr="00FB4958">
        <w:rPr>
          <w:rFonts w:ascii="Cambria" w:hAnsi="Cambria"/>
          <w:sz w:val="22"/>
          <w:szCs w:val="22"/>
        </w:rPr>
        <w:t xml:space="preserve"> </w:t>
      </w:r>
    </w:p>
    <w:p w14:paraId="4F9918AC" w14:textId="77777777" w:rsidR="001F35C6" w:rsidRPr="00FB4958" w:rsidRDefault="001F35C6" w:rsidP="003F7EDF">
      <w:pPr>
        <w:numPr>
          <w:ilvl w:val="1"/>
          <w:numId w:val="7"/>
        </w:numPr>
        <w:jc w:val="both"/>
        <w:rPr>
          <w:rFonts w:ascii="Cambria" w:hAnsi="Cambria"/>
          <w:sz w:val="22"/>
          <w:szCs w:val="22"/>
        </w:rPr>
      </w:pPr>
      <w:r w:rsidRPr="00FB4958">
        <w:rPr>
          <w:rFonts w:ascii="Cambria" w:hAnsi="Cambria"/>
          <w:sz w:val="22"/>
          <w:szCs w:val="22"/>
        </w:rPr>
        <w:t xml:space="preserve">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w:t>
      </w:r>
      <w:proofErr w:type="gramStart"/>
      <w:r w:rsidRPr="00FB4958">
        <w:rPr>
          <w:rFonts w:ascii="Cambria" w:hAnsi="Cambria"/>
          <w:sz w:val="22"/>
          <w:szCs w:val="22"/>
        </w:rPr>
        <w:t>n.º</w:t>
      </w:r>
      <w:proofErr w:type="gramEnd"/>
      <w:r w:rsidRPr="00FB4958">
        <w:rPr>
          <w:rFonts w:ascii="Cambria" w:hAnsi="Cambria"/>
          <w:sz w:val="22"/>
          <w:szCs w:val="22"/>
        </w:rPr>
        <w:t xml:space="preserve"> 14.133, de 2021).</w:t>
      </w:r>
    </w:p>
    <w:p w14:paraId="3F546D9A" w14:textId="77777777" w:rsidR="001F35C6" w:rsidRPr="00FB4958" w:rsidRDefault="001F35C6" w:rsidP="003F7EDF">
      <w:pPr>
        <w:pStyle w:val="Nivel01"/>
        <w:numPr>
          <w:ilvl w:val="0"/>
          <w:numId w:val="7"/>
        </w:numPr>
        <w:spacing w:before="120" w:after="120"/>
        <w:rPr>
          <w:rFonts w:ascii="Cambria" w:hAnsi="Cambria" w:cs="Calibri Light"/>
          <w:sz w:val="22"/>
          <w:szCs w:val="22"/>
        </w:rPr>
      </w:pPr>
      <w:r w:rsidRPr="00FB4958">
        <w:rPr>
          <w:rFonts w:ascii="Cambria" w:hAnsi="Cambria" w:cs="Calibri Light"/>
          <w:sz w:val="22"/>
          <w:szCs w:val="22"/>
        </w:rPr>
        <w:t xml:space="preserve">CLÁUSULA DÉCIMA PRIMEIRA – </w:t>
      </w:r>
      <w:r w:rsidRPr="00FB4958">
        <w:rPr>
          <w:rFonts w:ascii="Cambria" w:hAnsi="Cambria"/>
          <w:sz w:val="22"/>
          <w:szCs w:val="22"/>
        </w:rPr>
        <w:t>ALTERAÇÕES</w:t>
      </w:r>
    </w:p>
    <w:p w14:paraId="24FD9519"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Eventuais alterações contratuais reger-se-ão pela disciplina dos </w:t>
      </w:r>
      <w:hyperlink r:id="rId27" w:anchor="art124" w:history="1">
        <w:proofErr w:type="spellStart"/>
        <w:r w:rsidRPr="00FB4958">
          <w:rPr>
            <w:rFonts w:ascii="Cambria" w:hAnsi="Cambria"/>
            <w:sz w:val="22"/>
            <w:szCs w:val="22"/>
          </w:rPr>
          <w:t>arts</w:t>
        </w:r>
        <w:proofErr w:type="spellEnd"/>
        <w:r w:rsidRPr="00FB4958">
          <w:rPr>
            <w:rFonts w:ascii="Cambria" w:hAnsi="Cambria"/>
            <w:sz w:val="22"/>
            <w:szCs w:val="22"/>
          </w:rPr>
          <w:t>. 124 e seguintes da Lei nº 14.133, de 2021</w:t>
        </w:r>
      </w:hyperlink>
      <w:r w:rsidRPr="00FB4958">
        <w:rPr>
          <w:rFonts w:ascii="Cambria" w:hAnsi="Cambria"/>
          <w:sz w:val="22"/>
          <w:szCs w:val="22"/>
        </w:rPr>
        <w:t>.</w:t>
      </w:r>
    </w:p>
    <w:p w14:paraId="2F4DA5FE"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O contratado é obrigado a aceitar, nas mesmas condições contratuais, os acréscimos ou supressões que se fizerem necessários, até o limite de 25% (vinte e cinco por cento) do valor inicial atualizado do contrato.</w:t>
      </w:r>
    </w:p>
    <w:p w14:paraId="50E5C6CE"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1A08BC42" w14:textId="77777777" w:rsidR="001F35C6" w:rsidRPr="00FB4958" w:rsidRDefault="001F35C6" w:rsidP="003F7EDF">
      <w:pPr>
        <w:numPr>
          <w:ilvl w:val="1"/>
          <w:numId w:val="2"/>
        </w:numPr>
        <w:jc w:val="both"/>
        <w:rPr>
          <w:rFonts w:ascii="Cambria" w:hAnsi="Cambria"/>
          <w:sz w:val="22"/>
          <w:szCs w:val="22"/>
        </w:rPr>
      </w:pPr>
      <w:r w:rsidRPr="00FB4958">
        <w:rPr>
          <w:rFonts w:ascii="Cambria" w:hAnsi="Cambria"/>
          <w:sz w:val="22"/>
          <w:szCs w:val="22"/>
        </w:rPr>
        <w:t xml:space="preserve">Registros que não caracterizam alteração do contrato podem ser realizados por simples apostila, dispensada a celebração de termo aditivo, na forma do </w:t>
      </w:r>
      <w:hyperlink r:id="rId28" w:anchor="art136" w:history="1">
        <w:r w:rsidRPr="00FB4958">
          <w:rPr>
            <w:rFonts w:ascii="Cambria" w:hAnsi="Cambria"/>
            <w:sz w:val="22"/>
            <w:szCs w:val="22"/>
          </w:rPr>
          <w:t>art. 136 da Lei nº 14.133, de 2021</w:t>
        </w:r>
      </w:hyperlink>
      <w:r w:rsidRPr="00FB4958">
        <w:rPr>
          <w:rFonts w:ascii="Cambria" w:hAnsi="Cambria"/>
          <w:sz w:val="22"/>
          <w:szCs w:val="22"/>
        </w:rPr>
        <w:t>.</w:t>
      </w:r>
    </w:p>
    <w:p w14:paraId="5C2AE746"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DÉCIMA SEGUNDA – DOS CASOS OMISSOS.</w:t>
      </w:r>
    </w:p>
    <w:p w14:paraId="74F74437"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sz w:val="22"/>
          <w:szCs w:val="22"/>
        </w:rPr>
        <w:t xml:space="preserve">Os casos omissos serão decididos pelo contratante, segundo as disposições contidas na </w:t>
      </w:r>
      <w:hyperlink r:id="rId29" w:history="1">
        <w:r w:rsidRPr="00FB4958">
          <w:rPr>
            <w:rFonts w:ascii="Cambria" w:hAnsi="Cambria"/>
            <w:sz w:val="22"/>
            <w:szCs w:val="22"/>
          </w:rPr>
          <w:t>Lei nº 14.133, de 2021</w:t>
        </w:r>
      </w:hyperlink>
      <w:r w:rsidRPr="00FB4958">
        <w:rPr>
          <w:rFonts w:ascii="Cambria" w:hAnsi="Cambria"/>
          <w:sz w:val="22"/>
          <w:szCs w:val="22"/>
        </w:rPr>
        <w:t xml:space="preserve">, e demais normas federais aplicáveis e, subsidiariamente, segundo as disposições contidas na </w:t>
      </w:r>
      <w:hyperlink r:id="rId30" w:history="1">
        <w:r w:rsidRPr="00FB4958">
          <w:rPr>
            <w:rFonts w:ascii="Cambria" w:hAnsi="Cambria"/>
            <w:sz w:val="22"/>
            <w:szCs w:val="22"/>
          </w:rPr>
          <w:t>Lei nº 8.078, de 1990 – Código de Defesa do Consumidor</w:t>
        </w:r>
      </w:hyperlink>
      <w:r w:rsidRPr="00FB4958">
        <w:rPr>
          <w:rFonts w:ascii="Cambria" w:hAnsi="Cambria"/>
          <w:sz w:val="22"/>
          <w:szCs w:val="22"/>
        </w:rPr>
        <w:t xml:space="preserve"> – e normas e princípios gerais dos contratos.</w:t>
      </w:r>
    </w:p>
    <w:p w14:paraId="4D00DF60" w14:textId="77777777" w:rsidR="001F35C6" w:rsidRPr="00FB4958" w:rsidRDefault="001F35C6" w:rsidP="003F7EDF">
      <w:pPr>
        <w:pStyle w:val="Nivel01"/>
        <w:rPr>
          <w:rFonts w:ascii="Cambria" w:hAnsi="Cambria"/>
          <w:sz w:val="22"/>
          <w:szCs w:val="22"/>
        </w:rPr>
      </w:pPr>
      <w:r w:rsidRPr="00FB4958">
        <w:rPr>
          <w:rFonts w:ascii="Cambria" w:hAnsi="Cambria"/>
          <w:sz w:val="22"/>
          <w:szCs w:val="22"/>
        </w:rPr>
        <w:t>CLÁUSULA DÉCIMA TERCEIRA – PUBLICAÇÃO</w:t>
      </w:r>
    </w:p>
    <w:p w14:paraId="35864735"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sz w:val="22"/>
          <w:szCs w:val="22"/>
        </w:rPr>
        <w:t xml:space="preserve">Incumbirá ao contratante divulgar o presente instrumento no Portal Nacional de Contratações Públicas (PNCP), na forma prevista no </w:t>
      </w:r>
      <w:hyperlink r:id="rId31" w:anchor="art94" w:history="1">
        <w:r w:rsidRPr="00FB4958">
          <w:rPr>
            <w:rFonts w:ascii="Cambria" w:hAnsi="Cambria"/>
            <w:sz w:val="22"/>
            <w:szCs w:val="22"/>
          </w:rPr>
          <w:t>art. 94 da Lei 14.133, de 2021</w:t>
        </w:r>
      </w:hyperlink>
      <w:r w:rsidRPr="00FB4958">
        <w:rPr>
          <w:rFonts w:ascii="Cambria" w:hAnsi="Cambria"/>
          <w:sz w:val="22"/>
          <w:szCs w:val="22"/>
        </w:rPr>
        <w:t xml:space="preserve">, bem como no respectivo sítio oficial na Internet, em atenção ao art. 91, </w:t>
      </w:r>
      <w:r w:rsidRPr="00FB4958">
        <w:rPr>
          <w:rFonts w:ascii="Cambria" w:hAnsi="Cambria"/>
          <w:i/>
          <w:iCs/>
          <w:sz w:val="22"/>
          <w:szCs w:val="22"/>
        </w:rPr>
        <w:t>caput,</w:t>
      </w:r>
      <w:r w:rsidRPr="00FB4958">
        <w:rPr>
          <w:rFonts w:ascii="Cambria" w:hAnsi="Cambria"/>
          <w:sz w:val="22"/>
          <w:szCs w:val="22"/>
        </w:rPr>
        <w:t xml:space="preserve"> da Lei n.º 14.133, de 2021, e ao </w:t>
      </w:r>
      <w:hyperlink r:id="rId32" w:anchor="art8§2" w:history="1">
        <w:r w:rsidRPr="00FB4958">
          <w:rPr>
            <w:rFonts w:ascii="Cambria" w:hAnsi="Cambria"/>
            <w:sz w:val="22"/>
            <w:szCs w:val="22"/>
          </w:rPr>
          <w:t>art. 8º, §2º, da Lei n. 12.527, de 2011</w:t>
        </w:r>
      </w:hyperlink>
      <w:r w:rsidRPr="00FB4958">
        <w:rPr>
          <w:rFonts w:ascii="Cambria" w:hAnsi="Cambria"/>
          <w:sz w:val="22"/>
          <w:szCs w:val="22"/>
        </w:rPr>
        <w:t xml:space="preserve">, c/c </w:t>
      </w:r>
      <w:hyperlink r:id="rId33" w:anchor="art7§3" w:history="1">
        <w:r w:rsidRPr="00FB4958">
          <w:rPr>
            <w:rFonts w:ascii="Cambria" w:hAnsi="Cambria"/>
            <w:sz w:val="22"/>
            <w:szCs w:val="22"/>
          </w:rPr>
          <w:t>art. 7º, §3º, inciso V, do Decreto n. 7.724, de 2012.</w:t>
        </w:r>
      </w:hyperlink>
    </w:p>
    <w:p w14:paraId="7B669437" w14:textId="77777777" w:rsidR="001F35C6" w:rsidRPr="00FB4958" w:rsidRDefault="001F35C6" w:rsidP="003F7EDF">
      <w:pPr>
        <w:pStyle w:val="Nivel01"/>
        <w:rPr>
          <w:rFonts w:ascii="Cambria" w:hAnsi="Cambria"/>
          <w:sz w:val="22"/>
          <w:szCs w:val="22"/>
        </w:rPr>
      </w:pPr>
      <w:r w:rsidRPr="00FB4958">
        <w:rPr>
          <w:rFonts w:ascii="Cambria" w:hAnsi="Cambria"/>
          <w:sz w:val="22"/>
          <w:szCs w:val="22"/>
        </w:rPr>
        <w:lastRenderedPageBreak/>
        <w:t>CLÁUSULA DÉCIMA QUARTA – FORO</w:t>
      </w:r>
    </w:p>
    <w:p w14:paraId="29510BA0"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Calibri Light"/>
          <w:sz w:val="22"/>
          <w:szCs w:val="22"/>
        </w:rPr>
        <w:t xml:space="preserve">É eleito o Foro da comarca de </w:t>
      </w:r>
      <w:r w:rsidR="00C920A2">
        <w:rPr>
          <w:rFonts w:ascii="Cambria" w:hAnsi="Cambria" w:cs="Calibri Light"/>
          <w:sz w:val="22"/>
          <w:szCs w:val="22"/>
        </w:rPr>
        <w:t xml:space="preserve">Taguatinga </w:t>
      </w:r>
      <w:r w:rsidRPr="00FB4958">
        <w:rPr>
          <w:rFonts w:ascii="Cambria" w:hAnsi="Cambria" w:cs="Calibri Light"/>
          <w:sz w:val="22"/>
          <w:szCs w:val="22"/>
        </w:rPr>
        <w:t xml:space="preserve">– TO, para dirimir os litígios que decorrerem da execução deste Termo de Contrato que não possam ser compostos pela conciliação, conforme </w:t>
      </w:r>
      <w:r w:rsidRPr="00FB4958">
        <w:rPr>
          <w:rFonts w:ascii="Cambria" w:hAnsi="Cambria"/>
          <w:sz w:val="22"/>
          <w:szCs w:val="22"/>
        </w:rPr>
        <w:t>art. 92, §1º, da Lei nº 14.133/21</w:t>
      </w:r>
      <w:r w:rsidRPr="00FB4958">
        <w:rPr>
          <w:rFonts w:ascii="Cambria" w:hAnsi="Cambria" w:cs="Calibri Light"/>
          <w:sz w:val="22"/>
          <w:szCs w:val="22"/>
        </w:rPr>
        <w:t>.</w:t>
      </w:r>
    </w:p>
    <w:p w14:paraId="2537C687" w14:textId="77777777" w:rsidR="001F35C6" w:rsidRPr="00FB4958" w:rsidRDefault="001F35C6" w:rsidP="003F7EDF">
      <w:pPr>
        <w:numPr>
          <w:ilvl w:val="1"/>
          <w:numId w:val="2"/>
        </w:numPr>
        <w:suppressAutoHyphens w:val="0"/>
        <w:spacing w:before="120" w:after="120"/>
        <w:ind w:left="425"/>
        <w:jc w:val="both"/>
        <w:rPr>
          <w:rFonts w:ascii="Cambria" w:hAnsi="Cambria" w:cs="Calibri Light"/>
          <w:sz w:val="22"/>
          <w:szCs w:val="22"/>
        </w:rPr>
      </w:pPr>
      <w:r w:rsidRPr="00FB4958">
        <w:rPr>
          <w:rFonts w:ascii="Cambria" w:hAnsi="Cambria" w:cs="Calibri Light"/>
          <w:sz w:val="22"/>
          <w:szCs w:val="22"/>
        </w:rPr>
        <w:t xml:space="preserve"> Para firmeza e validade do pactuado, o presente Termo de Contrato foi lavrado em duas (duas) vias de igual teor, que, depois de lido e achado em ordem, vai assinado pelos contraentes.</w:t>
      </w:r>
    </w:p>
    <w:p w14:paraId="67C7F4DE" w14:textId="30B26299" w:rsidR="001F35C6" w:rsidRDefault="00A56FF1" w:rsidP="00A56FF1">
      <w:pPr>
        <w:rPr>
          <w:rFonts w:ascii="Cambria" w:hAnsi="Cambria" w:cs="Calibri Light"/>
          <w:sz w:val="22"/>
          <w:szCs w:val="22"/>
        </w:rPr>
      </w:pPr>
      <w:r>
        <w:rPr>
          <w:rFonts w:ascii="Cambria" w:hAnsi="Cambria" w:cs="Calibri Light"/>
          <w:sz w:val="22"/>
          <w:szCs w:val="22"/>
        </w:rPr>
        <w:t>Aurora do Tocantins, 12</w:t>
      </w:r>
      <w:r w:rsidR="001F35C6" w:rsidRPr="00FB4958">
        <w:rPr>
          <w:rFonts w:ascii="Cambria" w:hAnsi="Cambria" w:cs="Calibri Light"/>
          <w:sz w:val="22"/>
          <w:szCs w:val="22"/>
        </w:rPr>
        <w:t xml:space="preserve"> de </w:t>
      </w:r>
      <w:r>
        <w:rPr>
          <w:rFonts w:ascii="Cambria" w:hAnsi="Cambria" w:cs="Calibri Light"/>
          <w:sz w:val="22"/>
          <w:szCs w:val="22"/>
        </w:rPr>
        <w:t>janeiro</w:t>
      </w:r>
      <w:r w:rsidR="001F35C6" w:rsidRPr="00FB4958">
        <w:rPr>
          <w:rFonts w:ascii="Cambria" w:hAnsi="Cambria" w:cs="Calibri Light"/>
          <w:sz w:val="22"/>
          <w:szCs w:val="22"/>
        </w:rPr>
        <w:t xml:space="preserve"> de </w:t>
      </w:r>
      <w:r w:rsidR="00B57C4F">
        <w:rPr>
          <w:rFonts w:ascii="Cambria" w:hAnsi="Cambria" w:cs="Calibri Light"/>
          <w:sz w:val="22"/>
          <w:szCs w:val="22"/>
        </w:rPr>
        <w:t>2025</w:t>
      </w:r>
      <w:r w:rsidR="001F35C6" w:rsidRPr="00FB4958">
        <w:rPr>
          <w:rFonts w:ascii="Cambria" w:hAnsi="Cambria" w:cs="Calibri Light"/>
          <w:sz w:val="22"/>
          <w:szCs w:val="22"/>
        </w:rPr>
        <w:t>.</w:t>
      </w:r>
    </w:p>
    <w:p w14:paraId="467D67A4" w14:textId="787770EE" w:rsidR="00F44E77" w:rsidRDefault="00F44E77" w:rsidP="00A56FF1">
      <w:pPr>
        <w:rPr>
          <w:rFonts w:ascii="Cambria" w:hAnsi="Cambria" w:cs="Calibri Light"/>
          <w:sz w:val="22"/>
          <w:szCs w:val="22"/>
        </w:rPr>
      </w:pPr>
    </w:p>
    <w:p w14:paraId="19344FCD" w14:textId="77777777" w:rsidR="00F44E77" w:rsidRPr="00FB4958" w:rsidRDefault="00F44E77" w:rsidP="00A56FF1">
      <w:pPr>
        <w:rPr>
          <w:rFonts w:ascii="Cambria" w:hAnsi="Cambria" w:cs="Calibri Light"/>
          <w:sz w:val="22"/>
          <w:szCs w:val="22"/>
        </w:rPr>
      </w:pPr>
    </w:p>
    <w:p w14:paraId="7D09E1F4" w14:textId="16720EE7" w:rsidR="001F35C6" w:rsidRPr="00FB4958" w:rsidRDefault="00F44E77" w:rsidP="003F7EDF">
      <w:pPr>
        <w:spacing w:before="120" w:after="120"/>
        <w:jc w:val="center"/>
        <w:rPr>
          <w:rFonts w:ascii="Cambria" w:hAnsi="Cambria" w:cs="Calibri Light"/>
          <w:sz w:val="22"/>
          <w:szCs w:val="22"/>
        </w:rPr>
      </w:pPr>
      <w:r>
        <w:rPr>
          <w:rFonts w:ascii="Cambria" w:hAnsi="Cambria" w:cs="Calibri Light"/>
          <w:b/>
          <w:sz w:val="22"/>
          <w:szCs w:val="22"/>
        </w:rPr>
        <w:t>Fundo</w:t>
      </w:r>
      <w:r w:rsidR="002D5F7E">
        <w:rPr>
          <w:rFonts w:ascii="Cambria" w:hAnsi="Cambria" w:cs="Calibri Light"/>
          <w:b/>
          <w:sz w:val="22"/>
          <w:szCs w:val="22"/>
        </w:rPr>
        <w:t xml:space="preserve"> Municipal de</w:t>
      </w:r>
      <w:r>
        <w:rPr>
          <w:rFonts w:ascii="Cambria" w:hAnsi="Cambria" w:cs="Calibri Light"/>
          <w:b/>
          <w:sz w:val="22"/>
          <w:szCs w:val="22"/>
        </w:rPr>
        <w:t xml:space="preserve"> Saúde de</w:t>
      </w:r>
      <w:r w:rsidR="002D5F7E">
        <w:rPr>
          <w:rFonts w:ascii="Cambria" w:hAnsi="Cambria" w:cs="Calibri Light"/>
          <w:b/>
          <w:sz w:val="22"/>
          <w:szCs w:val="22"/>
        </w:rPr>
        <w:t xml:space="preserve"> Aurora do Tocantins</w:t>
      </w:r>
    </w:p>
    <w:p w14:paraId="7F2E50C3" w14:textId="55FB7E61" w:rsidR="001F35C6" w:rsidRPr="00FB4958" w:rsidRDefault="00260E04" w:rsidP="003F7EDF">
      <w:pPr>
        <w:spacing w:before="120" w:after="120"/>
        <w:jc w:val="center"/>
        <w:rPr>
          <w:rFonts w:ascii="Cambria" w:hAnsi="Cambria" w:cs="Calibri Light"/>
          <w:sz w:val="22"/>
          <w:szCs w:val="22"/>
        </w:rPr>
      </w:pPr>
      <w:r>
        <w:rPr>
          <w:rFonts w:ascii="Cambria" w:hAnsi="Cambria" w:cs="Calibri Light"/>
          <w:sz w:val="22"/>
          <w:szCs w:val="22"/>
        </w:rPr>
        <w:t xml:space="preserve">Rosiele </w:t>
      </w:r>
      <w:r w:rsidR="00EC099A">
        <w:rPr>
          <w:rFonts w:ascii="Cambria" w:hAnsi="Cambria" w:cs="Calibri Light"/>
          <w:sz w:val="22"/>
          <w:szCs w:val="22"/>
        </w:rPr>
        <w:t>Bastos de</w:t>
      </w:r>
      <w:r>
        <w:rPr>
          <w:rFonts w:ascii="Cambria" w:hAnsi="Cambria" w:cs="Calibri Light"/>
          <w:sz w:val="22"/>
          <w:szCs w:val="22"/>
        </w:rPr>
        <w:t xml:space="preserve"> </w:t>
      </w:r>
      <w:r w:rsidR="00EC099A">
        <w:rPr>
          <w:rFonts w:ascii="Cambria" w:hAnsi="Cambria" w:cs="Calibri Light"/>
          <w:sz w:val="22"/>
          <w:szCs w:val="22"/>
        </w:rPr>
        <w:t>Souza -</w:t>
      </w:r>
      <w:r w:rsidR="002D5F7E">
        <w:rPr>
          <w:rFonts w:ascii="Cambria" w:hAnsi="Cambria" w:cs="Calibri Light"/>
          <w:sz w:val="22"/>
          <w:szCs w:val="22"/>
        </w:rPr>
        <w:t xml:space="preserve"> </w:t>
      </w:r>
      <w:r>
        <w:rPr>
          <w:rFonts w:ascii="Cambria" w:hAnsi="Cambria" w:cs="Calibri Light"/>
          <w:sz w:val="22"/>
          <w:szCs w:val="22"/>
        </w:rPr>
        <w:t>Secretaria Fundo Municipal de Saúde</w:t>
      </w:r>
    </w:p>
    <w:p w14:paraId="03D64F19" w14:textId="77777777" w:rsidR="00F44E77" w:rsidRDefault="00F44E77" w:rsidP="003F7EDF">
      <w:pPr>
        <w:spacing w:before="120" w:after="120"/>
        <w:jc w:val="center"/>
        <w:rPr>
          <w:rFonts w:ascii="Cambria" w:hAnsi="Cambria" w:cs="Calibri Light"/>
          <w:b/>
          <w:sz w:val="22"/>
          <w:szCs w:val="22"/>
        </w:rPr>
      </w:pPr>
    </w:p>
    <w:p w14:paraId="0DA4705E" w14:textId="77777777" w:rsidR="00F44E77" w:rsidRDefault="00F44E77" w:rsidP="003F7EDF">
      <w:pPr>
        <w:spacing w:before="120" w:after="120"/>
        <w:jc w:val="center"/>
        <w:rPr>
          <w:rFonts w:ascii="Cambria" w:hAnsi="Cambria" w:cs="Calibri Light"/>
          <w:b/>
          <w:sz w:val="22"/>
          <w:szCs w:val="22"/>
        </w:rPr>
      </w:pPr>
    </w:p>
    <w:p w14:paraId="2EDD4440" w14:textId="4FA525B5" w:rsidR="001F35C6" w:rsidRPr="00FB4958" w:rsidRDefault="001F35C6" w:rsidP="003F7EDF">
      <w:pPr>
        <w:spacing w:before="120" w:after="120"/>
        <w:jc w:val="center"/>
        <w:rPr>
          <w:rFonts w:ascii="Cambria" w:hAnsi="Cambria" w:cs="Calibri Light"/>
          <w:b/>
          <w:sz w:val="22"/>
          <w:szCs w:val="22"/>
        </w:rPr>
      </w:pPr>
      <w:r w:rsidRPr="00FB4958">
        <w:rPr>
          <w:rFonts w:ascii="Cambria" w:hAnsi="Cambria" w:cs="Calibri Light"/>
          <w:b/>
          <w:sz w:val="22"/>
          <w:szCs w:val="22"/>
        </w:rPr>
        <w:t>Contratante</w:t>
      </w:r>
    </w:p>
    <w:p w14:paraId="79900504" w14:textId="5BB36688" w:rsidR="001F35C6" w:rsidRPr="00FB4958" w:rsidRDefault="001F35C6" w:rsidP="003F7EDF">
      <w:pPr>
        <w:spacing w:before="120" w:after="120"/>
        <w:jc w:val="center"/>
        <w:rPr>
          <w:rFonts w:ascii="Cambria" w:hAnsi="Cambria" w:cs="Calibri Light"/>
          <w:sz w:val="22"/>
          <w:szCs w:val="22"/>
        </w:rPr>
      </w:pPr>
      <w:r w:rsidRPr="00FB4958">
        <w:rPr>
          <w:rFonts w:ascii="Cambria" w:hAnsi="Cambria" w:cs="Calibri Light"/>
          <w:sz w:val="22"/>
          <w:szCs w:val="22"/>
        </w:rPr>
        <w:t xml:space="preserve">Empresa </w:t>
      </w:r>
      <w:r w:rsidR="002D5F7E">
        <w:rPr>
          <w:rFonts w:ascii="Cambria" w:hAnsi="Cambria" w:cs="Calibri Light"/>
          <w:sz w:val="22"/>
          <w:szCs w:val="22"/>
        </w:rPr>
        <w:t>Nogueira &amp; Machado</w:t>
      </w:r>
      <w:r w:rsidR="00C47980">
        <w:rPr>
          <w:rFonts w:ascii="Cambria" w:hAnsi="Cambria" w:cs="Calibri Light"/>
          <w:sz w:val="22"/>
          <w:szCs w:val="22"/>
        </w:rPr>
        <w:t xml:space="preserve"> LTDA</w:t>
      </w:r>
    </w:p>
    <w:p w14:paraId="251D6C61" w14:textId="062D5A46" w:rsidR="001F35C6" w:rsidRPr="00FB4958" w:rsidRDefault="001F35C6" w:rsidP="003F7EDF">
      <w:pPr>
        <w:spacing w:before="120" w:after="120"/>
        <w:jc w:val="center"/>
        <w:rPr>
          <w:rFonts w:ascii="Cambria" w:hAnsi="Cambria" w:cs="Calibri Light"/>
          <w:sz w:val="22"/>
          <w:szCs w:val="22"/>
        </w:rPr>
      </w:pPr>
      <w:r w:rsidRPr="00FB4958">
        <w:rPr>
          <w:rFonts w:ascii="Cambria" w:hAnsi="Cambria" w:cs="Calibri Light"/>
          <w:sz w:val="22"/>
          <w:szCs w:val="22"/>
        </w:rPr>
        <w:t xml:space="preserve">Representante </w:t>
      </w:r>
      <w:proofErr w:type="spellStart"/>
      <w:r w:rsidR="00C47980">
        <w:rPr>
          <w:rFonts w:ascii="Cambria" w:hAnsi="Cambria" w:cs="Calibri Light"/>
          <w:sz w:val="22"/>
          <w:szCs w:val="22"/>
        </w:rPr>
        <w:t>Renilda</w:t>
      </w:r>
      <w:proofErr w:type="spellEnd"/>
      <w:r w:rsidR="00C47980">
        <w:rPr>
          <w:rFonts w:ascii="Cambria" w:hAnsi="Cambria" w:cs="Calibri Light"/>
          <w:sz w:val="22"/>
          <w:szCs w:val="22"/>
        </w:rPr>
        <w:t xml:space="preserve"> Branquinho Nogueira</w:t>
      </w:r>
    </w:p>
    <w:p w14:paraId="74D39DE0" w14:textId="77777777" w:rsidR="001F35C6" w:rsidRPr="00FB4958" w:rsidRDefault="001F35C6" w:rsidP="003F7EDF">
      <w:pPr>
        <w:spacing w:before="120" w:after="120"/>
        <w:jc w:val="center"/>
        <w:rPr>
          <w:rFonts w:ascii="Cambria" w:hAnsi="Cambria" w:cs="Calibri Light"/>
          <w:b/>
          <w:sz w:val="22"/>
          <w:szCs w:val="22"/>
        </w:rPr>
      </w:pPr>
      <w:r w:rsidRPr="00FB4958">
        <w:rPr>
          <w:rFonts w:ascii="Cambria" w:hAnsi="Cambria" w:cs="Calibri Light"/>
          <w:b/>
          <w:sz w:val="22"/>
          <w:szCs w:val="22"/>
        </w:rPr>
        <w:t>Contratado</w:t>
      </w:r>
    </w:p>
    <w:p w14:paraId="755C9601" w14:textId="77777777" w:rsidR="001F35C6" w:rsidRPr="00FB4958" w:rsidRDefault="001F35C6" w:rsidP="003F7EDF">
      <w:pPr>
        <w:spacing w:before="120" w:after="120"/>
        <w:jc w:val="both"/>
        <w:rPr>
          <w:rFonts w:ascii="Cambria" w:hAnsi="Cambria" w:cs="Calibri Light"/>
          <w:sz w:val="22"/>
          <w:szCs w:val="22"/>
        </w:rPr>
      </w:pPr>
      <w:r w:rsidRPr="00FB4958">
        <w:rPr>
          <w:rFonts w:ascii="Cambria" w:hAnsi="Cambria" w:cs="Calibri Light"/>
          <w:sz w:val="22"/>
          <w:szCs w:val="22"/>
        </w:rPr>
        <w:t>TESTEMUNHAS:</w:t>
      </w:r>
    </w:p>
    <w:p w14:paraId="7BF39979" w14:textId="77777777" w:rsidR="001F35C6" w:rsidRPr="00FB4958" w:rsidRDefault="001F35C6" w:rsidP="003F7EDF">
      <w:pPr>
        <w:spacing w:before="120" w:after="120"/>
        <w:jc w:val="both"/>
        <w:rPr>
          <w:rFonts w:ascii="Cambria" w:hAnsi="Cambria" w:cs="Calibri Light"/>
          <w:sz w:val="22"/>
          <w:szCs w:val="22"/>
        </w:rPr>
      </w:pPr>
      <w:r w:rsidRPr="00FB4958">
        <w:rPr>
          <w:rFonts w:ascii="Cambria" w:hAnsi="Cambria" w:cs="Calibri Light"/>
          <w:sz w:val="22"/>
          <w:szCs w:val="22"/>
        </w:rPr>
        <w:t>1-_________________________________________</w:t>
      </w:r>
    </w:p>
    <w:p w14:paraId="4B53B390" w14:textId="77777777" w:rsidR="001F35C6" w:rsidRPr="00FB4958" w:rsidRDefault="001F35C6" w:rsidP="003F7EDF">
      <w:pPr>
        <w:spacing w:before="120" w:after="120"/>
        <w:jc w:val="both"/>
        <w:rPr>
          <w:rFonts w:ascii="Cambria" w:hAnsi="Cambria" w:cs="Calibri Light"/>
          <w:sz w:val="22"/>
          <w:szCs w:val="22"/>
        </w:rPr>
      </w:pPr>
      <w:proofErr w:type="gramStart"/>
      <w:r w:rsidRPr="00FB4958">
        <w:rPr>
          <w:rFonts w:ascii="Cambria" w:hAnsi="Cambria" w:cs="Calibri Light"/>
          <w:sz w:val="22"/>
          <w:szCs w:val="22"/>
        </w:rPr>
        <w:t>CPF:_</w:t>
      </w:r>
      <w:proofErr w:type="gramEnd"/>
      <w:r w:rsidRPr="00FB4958">
        <w:rPr>
          <w:rFonts w:ascii="Cambria" w:hAnsi="Cambria" w:cs="Calibri Light"/>
          <w:sz w:val="22"/>
          <w:szCs w:val="22"/>
        </w:rPr>
        <w:t>______________________________________</w:t>
      </w:r>
    </w:p>
    <w:p w14:paraId="651C77D9" w14:textId="77777777" w:rsidR="001F35C6" w:rsidRPr="00FB4958" w:rsidRDefault="001F35C6" w:rsidP="003F7EDF">
      <w:pPr>
        <w:spacing w:before="120" w:after="120"/>
        <w:jc w:val="both"/>
        <w:rPr>
          <w:rFonts w:ascii="Cambria" w:hAnsi="Cambria" w:cs="Calibri Light"/>
          <w:sz w:val="22"/>
          <w:szCs w:val="22"/>
        </w:rPr>
      </w:pPr>
      <w:r w:rsidRPr="00FB4958">
        <w:rPr>
          <w:rFonts w:ascii="Cambria" w:hAnsi="Cambria" w:cs="Calibri Light"/>
          <w:sz w:val="22"/>
          <w:szCs w:val="22"/>
        </w:rPr>
        <w:t>2-_________________________________________</w:t>
      </w:r>
    </w:p>
    <w:p w14:paraId="102EA630" w14:textId="77777777" w:rsidR="001F35C6" w:rsidRPr="00FB4958" w:rsidRDefault="001F35C6" w:rsidP="003F7EDF">
      <w:pPr>
        <w:spacing w:before="120" w:after="120"/>
        <w:jc w:val="both"/>
        <w:rPr>
          <w:rFonts w:ascii="Cambria" w:hAnsi="Cambria" w:cs="Calibri Light"/>
          <w:sz w:val="22"/>
          <w:szCs w:val="22"/>
        </w:rPr>
      </w:pPr>
      <w:proofErr w:type="gramStart"/>
      <w:r w:rsidRPr="00FB4958">
        <w:rPr>
          <w:rFonts w:ascii="Cambria" w:hAnsi="Cambria" w:cs="Calibri Light"/>
          <w:sz w:val="22"/>
          <w:szCs w:val="22"/>
        </w:rPr>
        <w:t>CPF:_</w:t>
      </w:r>
      <w:proofErr w:type="gramEnd"/>
      <w:r w:rsidRPr="00FB4958">
        <w:rPr>
          <w:rFonts w:ascii="Cambria" w:hAnsi="Cambria" w:cs="Calibri Light"/>
          <w:sz w:val="22"/>
          <w:szCs w:val="22"/>
        </w:rPr>
        <w:t>______________________________________</w:t>
      </w:r>
    </w:p>
    <w:p w14:paraId="68AA378E" w14:textId="77777777" w:rsidR="001F35C6" w:rsidRDefault="001F35C6" w:rsidP="00C920A2">
      <w:pPr>
        <w:pStyle w:val="western"/>
        <w:numPr>
          <w:ilvl w:val="0"/>
          <w:numId w:val="1"/>
        </w:numPr>
        <w:spacing w:before="0" w:line="240" w:lineRule="auto"/>
        <w:ind w:right="-17"/>
        <w:jc w:val="center"/>
      </w:pPr>
    </w:p>
    <w:sectPr w:rsidR="001F35C6" w:rsidSect="00F44E77">
      <w:headerReference w:type="default" r:id="rId34"/>
      <w:pgSz w:w="11906" w:h="16838"/>
      <w:pgMar w:top="1417" w:right="1133" w:bottom="709" w:left="1701" w:header="142"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9C732" w14:textId="77777777" w:rsidR="00CC3040" w:rsidRDefault="00CC3040" w:rsidP="002B1D0E">
      <w:r>
        <w:separator/>
      </w:r>
    </w:p>
  </w:endnote>
  <w:endnote w:type="continuationSeparator" w:id="0">
    <w:p w14:paraId="4207948A" w14:textId="77777777" w:rsidR="00CC3040" w:rsidRDefault="00CC3040" w:rsidP="002B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3893F9" w14:textId="77777777" w:rsidR="00CC3040" w:rsidRDefault="00CC3040" w:rsidP="002B1D0E">
      <w:bookmarkStart w:id="0" w:name="_Hlk187503284"/>
      <w:bookmarkEnd w:id="0"/>
      <w:r>
        <w:separator/>
      </w:r>
    </w:p>
  </w:footnote>
  <w:footnote w:type="continuationSeparator" w:id="0">
    <w:p w14:paraId="028DEA9E" w14:textId="77777777" w:rsidR="00CC3040" w:rsidRDefault="00CC3040" w:rsidP="002B1D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2CCA1" w14:textId="77777777" w:rsidR="002B1D0E" w:rsidRDefault="002B1D0E" w:rsidP="002B1D0E">
    <w:pPr>
      <w:pStyle w:val="Cabealho"/>
      <w:jc w:val="center"/>
    </w:pPr>
    <w:r>
      <w:rPr>
        <w:noProof/>
        <w:lang w:eastAsia="pt-BR"/>
      </w:rPr>
      <w:drawing>
        <wp:inline distT="0" distB="0" distL="0" distR="0" wp14:anchorId="38252BE8" wp14:editId="05122E5D">
          <wp:extent cx="2657475" cy="990450"/>
          <wp:effectExtent l="0" t="0" r="0" b="63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051" t="33145" r="16745" b="31467"/>
                  <a:stretch/>
                </pic:blipFill>
                <pic:spPr bwMode="auto">
                  <a:xfrm>
                    <a:off x="0" y="0"/>
                    <a:ext cx="2690407" cy="1002724"/>
                  </a:xfrm>
                  <a:prstGeom prst="rect">
                    <a:avLst/>
                  </a:prstGeom>
                  <a:noFill/>
                  <a:ln>
                    <a:noFill/>
                  </a:ln>
                  <a:extLst>
                    <a:ext uri="{53640926-AAD7-44D8-BBD7-CCE9431645EC}">
                      <a14:shadowObscured xmlns:a14="http://schemas.microsoft.com/office/drawing/2010/main"/>
                    </a:ext>
                  </a:extLst>
                </pic:spPr>
              </pic:pic>
            </a:graphicData>
          </a:graphic>
        </wp:inline>
      </w:drawing>
    </w:r>
  </w:p>
  <w:p w14:paraId="5B91083D" w14:textId="10007B98" w:rsidR="002B1D0E" w:rsidRPr="002B1D0E" w:rsidRDefault="005B3963" w:rsidP="002B1D0E">
    <w:pPr>
      <w:pStyle w:val="Cabealho"/>
      <w:jc w:val="center"/>
      <w:rPr>
        <w:rFonts w:ascii="Arial" w:hAnsi="Arial" w:cs="Arial"/>
        <w:b/>
        <w:bCs/>
      </w:rPr>
    </w:pPr>
    <w:r>
      <w:rPr>
        <w:rFonts w:ascii="Arial" w:hAnsi="Arial" w:cs="Arial"/>
        <w:b/>
        <w:bCs/>
        <w:noProof/>
      </w:rPr>
      <w:t>Fundo</w:t>
    </w:r>
    <w:r w:rsidR="002B1D0E" w:rsidRPr="004313BC">
      <w:rPr>
        <w:rFonts w:ascii="Arial" w:hAnsi="Arial" w:cs="Arial"/>
        <w:b/>
        <w:bCs/>
        <w:noProof/>
      </w:rPr>
      <w:t xml:space="preserve"> Municipal de </w:t>
    </w:r>
    <w:r>
      <w:rPr>
        <w:rFonts w:ascii="Arial" w:hAnsi="Arial" w:cs="Arial"/>
        <w:b/>
        <w:bCs/>
        <w:noProof/>
      </w:rPr>
      <w:t xml:space="preserve"> Saúde </w:t>
    </w:r>
    <w:r w:rsidR="002B1D0E" w:rsidRPr="004313BC">
      <w:rPr>
        <w:rFonts w:ascii="Arial" w:hAnsi="Arial" w:cs="Arial"/>
        <w:b/>
        <w:bCs/>
        <w:noProof/>
      </w:rPr>
      <w:t>Aurora - TO</w:t>
    </w:r>
  </w:p>
  <w:p w14:paraId="65F5FE80" w14:textId="77777777" w:rsidR="002B1D0E" w:rsidRPr="001804E1" w:rsidRDefault="002B1D0E" w:rsidP="002B1D0E">
    <w:pPr>
      <w:pStyle w:val="Cabealho"/>
      <w:jc w:val="center"/>
    </w:pPr>
    <w:r w:rsidRPr="00137D9A">
      <w:rPr>
        <w:rFonts w:ascii="Arial" w:hAnsi="Arial" w:cs="Arial"/>
        <w:b/>
      </w:rPr>
      <w:t>ADM. 202</w:t>
    </w:r>
    <w:r>
      <w:rPr>
        <w:rFonts w:ascii="Arial" w:hAnsi="Arial" w:cs="Arial"/>
        <w:b/>
      </w:rPr>
      <w:t>5</w:t>
    </w:r>
    <w:r w:rsidRPr="00137D9A">
      <w:rPr>
        <w:rFonts w:ascii="Arial" w:hAnsi="Arial" w:cs="Arial"/>
        <w:b/>
      </w:rPr>
      <w:t>-202</w:t>
    </w:r>
    <w:r>
      <w:rPr>
        <w:rFonts w:ascii="Arial" w:hAnsi="Arial" w:cs="Arial"/>
        <w:b/>
      </w:rPr>
      <w:t>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1"/>
    <w:multiLevelType w:val="multilevel"/>
    <w:tmpl w:val="00000001"/>
    <w:name w:val="WW8Num2"/>
    <w:lvl w:ilvl="0">
      <w:start w:val="1"/>
      <w:numFmt w:val="none"/>
      <w:lvlText w:val=""/>
      <w:lvlJc w:val="left"/>
      <w:pPr>
        <w:tabs>
          <w:tab w:val="num" w:pos="0"/>
        </w:tabs>
      </w:pPr>
    </w:lvl>
    <w:lvl w:ilvl="1">
      <w:start w:val="1"/>
      <w:numFmt w:val="none"/>
      <w:pStyle w:val="Nvel2-Red"/>
      <w:lvlText w:val=""/>
      <w:lvlJc w:val="left"/>
      <w:pPr>
        <w:tabs>
          <w:tab w:val="num" w:pos="0"/>
        </w:tabs>
      </w:pPr>
    </w:lvl>
    <w:lvl w:ilvl="2">
      <w:start w:val="1"/>
      <w:numFmt w:val="none"/>
      <w:pStyle w:val="Nvel3-R"/>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 w15:restartNumberingAfterBreak="1">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1">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1">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1">
    <w:nsid w:val="61DD361E"/>
    <w:multiLevelType w:val="multilevel"/>
    <w:tmpl w:val="D31EBC58"/>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1">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4"/>
  </w:num>
  <w:num w:numId="3">
    <w:abstractNumId w:val="5"/>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1"/>
    </w:lvlOverride>
    <w:lvlOverride w:ilvl="1">
      <w:startOverride w:val="1"/>
    </w:lvlOverride>
  </w:num>
  <w:num w:numId="8">
    <w:abstractNumId w:val="4"/>
    <w:lvlOverride w:ilvl="0">
      <w:startOverride w:val="3"/>
    </w:lvlOverride>
    <w:lvlOverride w:ilvl="1">
      <w:startOverride w:val="1"/>
    </w:lvlOverride>
  </w:num>
  <w:num w:numId="9">
    <w:abstractNumId w:val="4"/>
    <w:lvlOverride w:ilvl="0">
      <w:startOverride w:val="4"/>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DF"/>
    <w:rsid w:val="00055AA1"/>
    <w:rsid w:val="00094148"/>
    <w:rsid w:val="000D5BCC"/>
    <w:rsid w:val="001F35C6"/>
    <w:rsid w:val="0023011D"/>
    <w:rsid w:val="00260E04"/>
    <w:rsid w:val="002B1D0E"/>
    <w:rsid w:val="002C684B"/>
    <w:rsid w:val="002D5F7E"/>
    <w:rsid w:val="003F7EDF"/>
    <w:rsid w:val="004D2488"/>
    <w:rsid w:val="005032AD"/>
    <w:rsid w:val="005B3963"/>
    <w:rsid w:val="00690338"/>
    <w:rsid w:val="006B3DE8"/>
    <w:rsid w:val="007F17E7"/>
    <w:rsid w:val="00944995"/>
    <w:rsid w:val="00974FC5"/>
    <w:rsid w:val="00995C97"/>
    <w:rsid w:val="00A56FF1"/>
    <w:rsid w:val="00A70DB4"/>
    <w:rsid w:val="00B57C4F"/>
    <w:rsid w:val="00C47980"/>
    <w:rsid w:val="00C920A2"/>
    <w:rsid w:val="00CC3040"/>
    <w:rsid w:val="00D83559"/>
    <w:rsid w:val="00E66860"/>
    <w:rsid w:val="00EC099A"/>
    <w:rsid w:val="00EF1155"/>
    <w:rsid w:val="00F30C5B"/>
    <w:rsid w:val="00F44E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7F0C1"/>
  <w15:chartTrackingRefBased/>
  <w15:docId w15:val="{17C5B096-912D-4B53-8A42-8FCFF050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EDF"/>
    <w:pPr>
      <w:suppressAutoHyphens/>
      <w:spacing w:after="0" w:line="240" w:lineRule="auto"/>
    </w:pPr>
    <w:rPr>
      <w:rFonts w:ascii="Times New Roman" w:eastAsia="Times New Roman" w:hAnsi="Times New Roman" w:cs="Times New Roman"/>
      <w:sz w:val="20"/>
      <w:szCs w:val="20"/>
      <w:lang w:eastAsia="ja-JP"/>
    </w:rPr>
  </w:style>
  <w:style w:type="paragraph" w:styleId="Ttulo1">
    <w:name w:val="heading 1"/>
    <w:basedOn w:val="Normal"/>
    <w:next w:val="Normal"/>
    <w:link w:val="Ttulo1Char"/>
    <w:uiPriority w:val="9"/>
    <w:qFormat/>
    <w:rsid w:val="003F7ED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uiPriority w:val="99"/>
    <w:rsid w:val="003F7EDF"/>
    <w:pPr>
      <w:suppressAutoHyphens w:val="0"/>
      <w:spacing w:before="280" w:line="403" w:lineRule="atLeast"/>
    </w:pPr>
    <w:rPr>
      <w:rFonts w:ascii="Garamond" w:hAnsi="Garamond"/>
      <w:sz w:val="28"/>
      <w:szCs w:val="28"/>
    </w:rPr>
  </w:style>
  <w:style w:type="paragraph" w:styleId="PargrafodaLista">
    <w:name w:val="List Paragraph"/>
    <w:basedOn w:val="Normal"/>
    <w:link w:val="PargrafodaListaChar"/>
    <w:uiPriority w:val="34"/>
    <w:qFormat/>
    <w:rsid w:val="003F7EDF"/>
    <w:pPr>
      <w:ind w:left="708"/>
    </w:pPr>
  </w:style>
  <w:style w:type="character" w:customStyle="1" w:styleId="PargrafodaListaChar">
    <w:name w:val="Parágrafo da Lista Char"/>
    <w:link w:val="PargrafodaLista"/>
    <w:uiPriority w:val="34"/>
    <w:locked/>
    <w:rsid w:val="003F7EDF"/>
    <w:rPr>
      <w:rFonts w:ascii="Times New Roman" w:eastAsia="Times New Roman" w:hAnsi="Times New Roman" w:cs="Times New Roman"/>
      <w:sz w:val="20"/>
      <w:szCs w:val="20"/>
      <w:lang w:eastAsia="ja-JP"/>
    </w:rPr>
  </w:style>
  <w:style w:type="paragraph" w:customStyle="1" w:styleId="Corpodetexto21">
    <w:name w:val="Corpo de texto 21"/>
    <w:basedOn w:val="Normal"/>
    <w:uiPriority w:val="99"/>
    <w:rsid w:val="003F7EDF"/>
    <w:pPr>
      <w:ind w:firstLine="2835"/>
      <w:jc w:val="both"/>
    </w:pPr>
    <w:rPr>
      <w:rFonts w:ascii="Arial" w:hAnsi="Arial"/>
      <w:sz w:val="24"/>
      <w:lang w:eastAsia="ar-SA"/>
    </w:rPr>
  </w:style>
  <w:style w:type="paragraph" w:customStyle="1" w:styleId="Nivel01">
    <w:name w:val="Nivel_01"/>
    <w:basedOn w:val="Ttulo1"/>
    <w:link w:val="Nivel01Char"/>
    <w:qFormat/>
    <w:rsid w:val="003F7EDF"/>
    <w:pPr>
      <w:numPr>
        <w:numId w:val="2"/>
      </w:numPr>
      <w:tabs>
        <w:tab w:val="left" w:pos="567"/>
      </w:tabs>
      <w:suppressAutoHyphens w:val="0"/>
      <w:jc w:val="both"/>
    </w:pPr>
    <w:rPr>
      <w:rFonts w:ascii="Ecofont_Spranq_eco_Sans" w:eastAsia="MS Gothic" w:hAnsi="Ecofont_Spranq_eco_Sans" w:cs="Times New Roman"/>
      <w:b/>
      <w:bCs/>
      <w:color w:val="auto"/>
      <w:sz w:val="20"/>
      <w:szCs w:val="20"/>
      <w:lang w:eastAsia="pt-BR"/>
    </w:rPr>
  </w:style>
  <w:style w:type="character" w:customStyle="1" w:styleId="Nivel01Char">
    <w:name w:val="Nivel_01 Char"/>
    <w:link w:val="Nivel01"/>
    <w:rsid w:val="003F7EDF"/>
    <w:rPr>
      <w:rFonts w:ascii="Ecofont_Spranq_eco_Sans" w:eastAsia="MS Gothic" w:hAnsi="Ecofont_Spranq_eco_Sans" w:cs="Times New Roman"/>
      <w:b/>
      <w:bCs/>
      <w:sz w:val="20"/>
      <w:szCs w:val="20"/>
      <w:lang w:eastAsia="pt-BR"/>
    </w:rPr>
  </w:style>
  <w:style w:type="paragraph" w:customStyle="1" w:styleId="Nivel2">
    <w:name w:val="Nivel 2"/>
    <w:basedOn w:val="Normal"/>
    <w:link w:val="Nivel2Char"/>
    <w:qFormat/>
    <w:rsid w:val="003F7EDF"/>
    <w:pPr>
      <w:suppressAutoHyphens w:val="0"/>
      <w:spacing w:before="120" w:after="120" w:line="276" w:lineRule="auto"/>
      <w:jc w:val="both"/>
    </w:pPr>
    <w:rPr>
      <w:rFonts w:ascii="Arial" w:eastAsia="MS Mincho" w:hAnsi="Arial" w:cs="Arial"/>
      <w:color w:val="000000"/>
      <w:lang w:eastAsia="pt-BR"/>
    </w:rPr>
  </w:style>
  <w:style w:type="character" w:customStyle="1" w:styleId="Nivel2Char">
    <w:name w:val="Nivel 2 Char"/>
    <w:link w:val="Nivel2"/>
    <w:locked/>
    <w:rsid w:val="003F7EDF"/>
    <w:rPr>
      <w:rFonts w:ascii="Arial" w:eastAsia="MS Mincho" w:hAnsi="Arial" w:cs="Arial"/>
      <w:color w:val="000000"/>
      <w:sz w:val="20"/>
      <w:szCs w:val="20"/>
      <w:lang w:eastAsia="pt-BR"/>
    </w:rPr>
  </w:style>
  <w:style w:type="paragraph" w:customStyle="1" w:styleId="Nvel2-Red">
    <w:name w:val="Nível 2 -Red"/>
    <w:basedOn w:val="Nivel2"/>
    <w:qFormat/>
    <w:rsid w:val="003F7EDF"/>
    <w:pPr>
      <w:numPr>
        <w:ilvl w:val="1"/>
        <w:numId w:val="1"/>
      </w:numPr>
    </w:pPr>
    <w:rPr>
      <w:i/>
      <w:iCs/>
      <w:color w:val="FF0000"/>
    </w:rPr>
  </w:style>
  <w:style w:type="paragraph" w:customStyle="1" w:styleId="Nvel3-R">
    <w:name w:val="Nível 3-R"/>
    <w:basedOn w:val="Normal"/>
    <w:qFormat/>
    <w:rsid w:val="003F7EDF"/>
    <w:pPr>
      <w:numPr>
        <w:ilvl w:val="2"/>
        <w:numId w:val="1"/>
      </w:numPr>
      <w:suppressAutoHyphens w:val="0"/>
      <w:spacing w:before="120" w:after="120" w:line="276" w:lineRule="auto"/>
      <w:ind w:left="284"/>
      <w:jc w:val="both"/>
    </w:pPr>
    <w:rPr>
      <w:rFonts w:ascii="Arial" w:eastAsia="MS Mincho" w:hAnsi="Arial" w:cs="Arial"/>
      <w:i/>
      <w:iCs/>
      <w:color w:val="FF0000"/>
      <w:lang w:eastAsia="pt-BR"/>
    </w:rPr>
  </w:style>
  <w:style w:type="paragraph" w:customStyle="1" w:styleId="Nivel4">
    <w:name w:val="Nivel 4"/>
    <w:basedOn w:val="Normal"/>
    <w:link w:val="Nivel4Char"/>
    <w:qFormat/>
    <w:rsid w:val="003F7EDF"/>
    <w:pPr>
      <w:suppressAutoHyphens w:val="0"/>
      <w:spacing w:before="120" w:after="120" w:line="276" w:lineRule="auto"/>
      <w:ind w:left="567"/>
      <w:jc w:val="both"/>
    </w:pPr>
    <w:rPr>
      <w:rFonts w:ascii="Arial" w:eastAsia="MS Mincho" w:hAnsi="Arial" w:cs="Arial"/>
      <w:lang w:eastAsia="pt-BR"/>
    </w:rPr>
  </w:style>
  <w:style w:type="character" w:customStyle="1" w:styleId="Nivel4Char">
    <w:name w:val="Nivel 4 Char"/>
    <w:link w:val="Nivel4"/>
    <w:rsid w:val="003F7EDF"/>
    <w:rPr>
      <w:rFonts w:ascii="Arial" w:eastAsia="MS Mincho" w:hAnsi="Arial" w:cs="Arial"/>
      <w:sz w:val="20"/>
      <w:szCs w:val="20"/>
      <w:lang w:eastAsia="pt-BR"/>
    </w:rPr>
  </w:style>
  <w:style w:type="character" w:customStyle="1" w:styleId="Ttulo1Char">
    <w:name w:val="Título 1 Char"/>
    <w:basedOn w:val="Fontepargpadro"/>
    <w:link w:val="Ttulo1"/>
    <w:uiPriority w:val="9"/>
    <w:rsid w:val="003F7EDF"/>
    <w:rPr>
      <w:rFonts w:asciiTheme="majorHAnsi" w:eastAsiaTheme="majorEastAsia" w:hAnsiTheme="majorHAnsi" w:cstheme="majorBidi"/>
      <w:color w:val="2F5496" w:themeColor="accent1" w:themeShade="BF"/>
      <w:sz w:val="32"/>
      <w:szCs w:val="32"/>
      <w:lang w:eastAsia="ja-JP"/>
    </w:rPr>
  </w:style>
  <w:style w:type="paragraph" w:styleId="Cabealho">
    <w:name w:val="header"/>
    <w:aliases w:val="foote,encabezado,Cabeçalho superior,Heading 1a,hd,he"/>
    <w:basedOn w:val="Normal"/>
    <w:link w:val="CabealhoChar"/>
    <w:unhideWhenUsed/>
    <w:rsid w:val="002B1D0E"/>
    <w:pPr>
      <w:tabs>
        <w:tab w:val="center" w:pos="4252"/>
        <w:tab w:val="right" w:pos="8504"/>
      </w:tabs>
    </w:pPr>
  </w:style>
  <w:style w:type="character" w:customStyle="1" w:styleId="CabealhoChar">
    <w:name w:val="Cabeçalho Char"/>
    <w:aliases w:val="foote Char,encabezado Char,Cabeçalho superior Char,Heading 1a Char,hd Char,he Char"/>
    <w:basedOn w:val="Fontepargpadro"/>
    <w:link w:val="Cabealho"/>
    <w:rsid w:val="002B1D0E"/>
    <w:rPr>
      <w:rFonts w:ascii="Times New Roman" w:eastAsia="Times New Roman" w:hAnsi="Times New Roman" w:cs="Times New Roman"/>
      <w:sz w:val="20"/>
      <w:szCs w:val="20"/>
      <w:lang w:eastAsia="ja-JP"/>
    </w:rPr>
  </w:style>
  <w:style w:type="paragraph" w:styleId="Rodap">
    <w:name w:val="footer"/>
    <w:basedOn w:val="Normal"/>
    <w:link w:val="RodapChar"/>
    <w:uiPriority w:val="99"/>
    <w:unhideWhenUsed/>
    <w:rsid w:val="002B1D0E"/>
    <w:pPr>
      <w:tabs>
        <w:tab w:val="center" w:pos="4252"/>
        <w:tab w:val="right" w:pos="8504"/>
      </w:tabs>
    </w:pPr>
  </w:style>
  <w:style w:type="character" w:customStyle="1" w:styleId="RodapChar">
    <w:name w:val="Rodapé Char"/>
    <w:basedOn w:val="Fontepargpadro"/>
    <w:link w:val="Rodap"/>
    <w:uiPriority w:val="99"/>
    <w:rsid w:val="002B1D0E"/>
    <w:rPr>
      <w:rFonts w:ascii="Times New Roman" w:eastAsia="Times New Roman" w:hAnsi="Times New Roman" w:cs="Times New Roman"/>
      <w:sz w:val="20"/>
      <w:szCs w:val="20"/>
      <w:lang w:eastAsia="ja-JP"/>
    </w:rPr>
  </w:style>
  <w:style w:type="paragraph" w:styleId="Textodebalo">
    <w:name w:val="Balloon Text"/>
    <w:basedOn w:val="Normal"/>
    <w:link w:val="TextodebaloChar"/>
    <w:uiPriority w:val="99"/>
    <w:semiHidden/>
    <w:unhideWhenUsed/>
    <w:rsid w:val="00F30C5B"/>
    <w:rPr>
      <w:rFonts w:ascii="Segoe UI" w:hAnsi="Segoe UI" w:cs="Segoe UI"/>
      <w:sz w:val="18"/>
      <w:szCs w:val="18"/>
    </w:rPr>
  </w:style>
  <w:style w:type="character" w:customStyle="1" w:styleId="TextodebaloChar">
    <w:name w:val="Texto de balão Char"/>
    <w:basedOn w:val="Fontepargpadro"/>
    <w:link w:val="Textodebalo"/>
    <w:uiPriority w:val="99"/>
    <w:semiHidden/>
    <w:rsid w:val="00F30C5B"/>
    <w:rPr>
      <w:rFonts w:ascii="Segoe UI" w:eastAsia="Times New Roman" w:hAnsi="Segoe UI" w:cs="Segoe U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_ato2011-2014/2013/lei/l12846.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header" Target="header1.xml"/><Relationship Id="rId7"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s://www.planalto.gov.br/ccivil_03/_ato2011-2014/2012/decreto/d7724.htm" TargetMode="External"/><Relationship Id="rId2" Type="http://schemas.openxmlformats.org/officeDocument/2006/relationships/styles" Target="styles.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s://www.planalto.gov.br/ccivil_03/_ato2011-2014/2011/lei/l12527.htm" TargetMode="External"/><Relationship Id="rId5"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s://www.gov.br/compras/pt-br/acesso-a-informacao/legislacao/instrucoes-normativas/instrucao-normativa-seges-me-no-26-de-13-de-abril-de-2022"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planalto.gov.br/ccivil_03/leis/l8078compilado.htm" TargetMode="External"/><Relationship Id="rId35" Type="http://schemas.openxmlformats.org/officeDocument/2006/relationships/fontTable" Target="fontTable.xm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5013</Words>
  <Characters>27073</Characters>
  <Application>Microsoft Office Word</Application>
  <DocSecurity>0</DocSecurity>
  <Lines>225</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cp:lastPrinted>2025-02-05T22:30:00Z</cp:lastPrinted>
  <dcterms:created xsi:type="dcterms:W3CDTF">2025-02-04T12:27:00Z</dcterms:created>
  <dcterms:modified xsi:type="dcterms:W3CDTF">2025-02-05T22:38:00Z</dcterms:modified>
</cp:coreProperties>
</file>